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76"/>
        <w:tblW w:w="9895" w:type="dxa"/>
        <w:tblLook w:val="04A0" w:firstRow="1" w:lastRow="0" w:firstColumn="1" w:lastColumn="0" w:noHBand="0" w:noVBand="1"/>
      </w:tblPr>
      <w:tblGrid>
        <w:gridCol w:w="2155"/>
        <w:gridCol w:w="2520"/>
        <w:gridCol w:w="2430"/>
        <w:gridCol w:w="1080"/>
        <w:gridCol w:w="1710"/>
      </w:tblGrid>
      <w:tr w:rsidR="00761FBD" w:rsidRPr="00761FBD" w:rsidTr="00CE51BA">
        <w:trPr>
          <w:trHeight w:val="300"/>
          <w:tblHead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82A" w:rsidRPr="00761FBD" w:rsidRDefault="008B54B1" w:rsidP="006A7DD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Category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FBD" w:rsidRPr="00761FBD" w:rsidRDefault="00761FBD" w:rsidP="006A7DD5">
            <w:pPr>
              <w:spacing w:after="0" w:line="240" w:lineRule="auto"/>
              <w:jc w:val="center"/>
              <w:rPr>
                <w:rFonts w:ascii="Calibri" w:eastAsia="Times New Roman" w:hAnsi="Calibri" w:cs="Calibri"/>
                <w:b/>
                <w:bCs/>
                <w:color w:val="000000"/>
                <w:sz w:val="18"/>
                <w:szCs w:val="18"/>
              </w:rPr>
            </w:pPr>
            <w:r w:rsidRPr="00761FBD">
              <w:rPr>
                <w:rFonts w:ascii="Calibri" w:eastAsia="Times New Roman" w:hAnsi="Calibri" w:cs="Calibri"/>
                <w:b/>
                <w:bCs/>
                <w:color w:val="000000"/>
                <w:sz w:val="18"/>
                <w:szCs w:val="18"/>
              </w:rPr>
              <w:t>Department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FBD" w:rsidRPr="00761FBD" w:rsidRDefault="00761FBD" w:rsidP="006A7DD5">
            <w:pPr>
              <w:spacing w:after="0" w:line="240" w:lineRule="auto"/>
              <w:jc w:val="center"/>
              <w:rPr>
                <w:rFonts w:ascii="Calibri" w:eastAsia="Times New Roman" w:hAnsi="Calibri" w:cs="Calibri"/>
                <w:b/>
                <w:bCs/>
                <w:color w:val="000000"/>
                <w:sz w:val="18"/>
                <w:szCs w:val="18"/>
              </w:rPr>
            </w:pPr>
            <w:r w:rsidRPr="00761FBD">
              <w:rPr>
                <w:rFonts w:ascii="Calibri" w:eastAsia="Times New Roman" w:hAnsi="Calibri" w:cs="Calibri"/>
                <w:b/>
                <w:bCs/>
                <w:color w:val="000000"/>
                <w:sz w:val="18"/>
                <w:szCs w:val="18"/>
              </w:rPr>
              <w:t>Program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FBD" w:rsidRPr="00761FBD" w:rsidRDefault="00761FBD" w:rsidP="006A7DD5">
            <w:pPr>
              <w:spacing w:after="0" w:line="240" w:lineRule="auto"/>
              <w:jc w:val="center"/>
              <w:rPr>
                <w:rFonts w:ascii="Calibri" w:eastAsia="Times New Roman" w:hAnsi="Calibri" w:cs="Calibri"/>
                <w:b/>
                <w:bCs/>
                <w:color w:val="000000"/>
                <w:sz w:val="18"/>
                <w:szCs w:val="18"/>
              </w:rPr>
            </w:pPr>
            <w:r w:rsidRPr="00761FBD">
              <w:rPr>
                <w:rFonts w:ascii="Calibri" w:eastAsia="Times New Roman" w:hAnsi="Calibri" w:cs="Calibri"/>
                <w:b/>
                <w:bCs/>
                <w:color w:val="000000"/>
                <w:sz w:val="18"/>
                <w:szCs w:val="18"/>
              </w:rPr>
              <w:t>2014-15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FBD" w:rsidRPr="00761FBD" w:rsidRDefault="00761FBD" w:rsidP="006A7DD5">
            <w:pPr>
              <w:spacing w:after="0" w:line="240" w:lineRule="auto"/>
              <w:jc w:val="center"/>
              <w:rPr>
                <w:rFonts w:ascii="Calibri" w:eastAsia="Times New Roman" w:hAnsi="Calibri" w:cs="Calibri"/>
                <w:b/>
                <w:bCs/>
                <w:color w:val="000000"/>
                <w:sz w:val="18"/>
                <w:szCs w:val="18"/>
              </w:rPr>
            </w:pPr>
            <w:r w:rsidRPr="00761FBD">
              <w:rPr>
                <w:rFonts w:ascii="Calibri" w:eastAsia="Times New Roman" w:hAnsi="Calibri" w:cs="Calibri"/>
                <w:b/>
                <w:bCs/>
                <w:color w:val="000000"/>
                <w:sz w:val="18"/>
                <w:szCs w:val="18"/>
              </w:rPr>
              <w:t>On-going</w:t>
            </w:r>
          </w:p>
        </w:tc>
      </w:tr>
      <w:tr w:rsidR="00761FBD" w:rsidRPr="00761FBD" w:rsidTr="00B94EA2">
        <w:trPr>
          <w:trHeight w:val="300"/>
        </w:trPr>
        <w:tc>
          <w:tcPr>
            <w:tcW w:w="2155" w:type="dxa"/>
            <w:tcBorders>
              <w:top w:val="single" w:sz="4" w:space="0" w:color="auto"/>
              <w:left w:val="single" w:sz="8" w:space="0" w:color="auto"/>
              <w:bottom w:val="nil"/>
              <w:right w:val="nil"/>
            </w:tcBorders>
            <w:shd w:val="clear" w:color="000000" w:fill="DBE5F1"/>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High-Speed Rail Authority</w:t>
            </w:r>
          </w:p>
        </w:tc>
        <w:tc>
          <w:tcPr>
            <w:tcW w:w="2430" w:type="dxa"/>
            <w:tcBorders>
              <w:top w:val="single" w:sz="4" w:space="0" w:color="auto"/>
              <w:left w:val="nil"/>
              <w:bottom w:val="single" w:sz="4" w:space="0" w:color="auto"/>
              <w:right w:val="single" w:sz="4" w:space="0" w:color="auto"/>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High-Speed Rail Project</w:t>
            </w:r>
          </w:p>
        </w:tc>
        <w:tc>
          <w:tcPr>
            <w:tcW w:w="1080" w:type="dxa"/>
            <w:tcBorders>
              <w:top w:val="single" w:sz="4" w:space="0" w:color="auto"/>
              <w:left w:val="nil"/>
              <w:bottom w:val="single" w:sz="4" w:space="0" w:color="auto"/>
              <w:right w:val="nil"/>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$250 m</w:t>
            </w:r>
          </w:p>
        </w:tc>
        <w:tc>
          <w:tcPr>
            <w:tcW w:w="1710" w:type="dxa"/>
            <w:tcBorders>
              <w:top w:val="single" w:sz="4" w:space="0" w:color="auto"/>
              <w:left w:val="single" w:sz="4" w:space="0" w:color="auto"/>
              <w:bottom w:val="single" w:sz="4" w:space="0" w:color="auto"/>
              <w:right w:val="single" w:sz="8" w:space="0" w:color="auto"/>
            </w:tcBorders>
            <w:shd w:val="clear" w:color="000000" w:fill="DBE5F1"/>
            <w:noWrap/>
            <w:vAlign w:val="center"/>
            <w:hideMark/>
          </w:tcPr>
          <w:p w:rsidR="00761FBD" w:rsidRPr="00761FBD" w:rsidRDefault="001F0B1B" w:rsidP="006A7DD5">
            <w:pPr>
              <w:spacing w:after="0" w:line="240" w:lineRule="auto"/>
              <w:jc w:val="center"/>
              <w:rPr>
                <w:rFonts w:ascii="Calibri" w:eastAsia="Times New Roman" w:hAnsi="Calibri" w:cs="Calibri"/>
                <w:color w:val="000000"/>
              </w:rPr>
            </w:pPr>
            <w:r w:rsidRPr="001F0B1B">
              <w:rPr>
                <w:rFonts w:ascii="Calibri" w:eastAsia="Times New Roman" w:hAnsi="Calibri" w:cs="Calibri"/>
                <w:color w:val="000000"/>
                <w:sz w:val="18"/>
                <w:szCs w:val="18"/>
              </w:rPr>
              <w:t>25%</w:t>
            </w:r>
          </w:p>
        </w:tc>
      </w:tr>
      <w:tr w:rsidR="00761FBD" w:rsidRPr="001F0B1B" w:rsidTr="00B94EA2">
        <w:trPr>
          <w:trHeight w:val="495"/>
        </w:trPr>
        <w:tc>
          <w:tcPr>
            <w:tcW w:w="2155" w:type="dxa"/>
            <w:tcBorders>
              <w:top w:val="nil"/>
              <w:left w:val="single" w:sz="8" w:space="0" w:color="auto"/>
              <w:bottom w:val="nil"/>
              <w:right w:val="single" w:sz="4" w:space="0" w:color="auto"/>
            </w:tcBorders>
            <w:shd w:val="clear" w:color="000000" w:fill="DBE5F1"/>
            <w:vAlign w:val="bottom"/>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Sustainable Communities and Clean Transportation</w:t>
            </w:r>
          </w:p>
        </w:tc>
        <w:tc>
          <w:tcPr>
            <w:tcW w:w="2520" w:type="dxa"/>
            <w:tcBorders>
              <w:top w:val="nil"/>
              <w:left w:val="nil"/>
              <w:bottom w:val="single" w:sz="4" w:space="0" w:color="auto"/>
              <w:right w:val="single" w:sz="4" w:space="0" w:color="auto"/>
            </w:tcBorders>
            <w:shd w:val="clear" w:color="000000" w:fill="DBE5F1"/>
            <w:vAlign w:val="center"/>
            <w:hideMark/>
          </w:tcPr>
          <w:p w:rsidR="00761FBD" w:rsidRPr="001F0B1B" w:rsidRDefault="00761FBD" w:rsidP="006A7DD5">
            <w:pPr>
              <w:spacing w:after="0" w:line="240" w:lineRule="auto"/>
              <w:jc w:val="center"/>
              <w:rPr>
                <w:rFonts w:ascii="Calibri" w:eastAsia="Times New Roman" w:hAnsi="Calibri" w:cs="Calibri"/>
                <w:bCs/>
                <w:i/>
                <w:iCs/>
                <w:color w:val="000000"/>
                <w:sz w:val="18"/>
                <w:szCs w:val="18"/>
              </w:rPr>
            </w:pPr>
            <w:r w:rsidRPr="001F0B1B">
              <w:rPr>
                <w:rFonts w:ascii="Calibri" w:eastAsia="Times New Roman" w:hAnsi="Calibri" w:cs="Calibri"/>
                <w:bCs/>
                <w:i/>
                <w:iCs/>
                <w:color w:val="000000"/>
                <w:sz w:val="18"/>
                <w:szCs w:val="18"/>
              </w:rPr>
              <w:t>State Contro</w:t>
            </w:r>
            <w:r w:rsidR="00066905">
              <w:rPr>
                <w:rFonts w:ascii="Calibri" w:eastAsia="Times New Roman" w:hAnsi="Calibri" w:cs="Calibri"/>
                <w:bCs/>
                <w:i/>
                <w:iCs/>
                <w:color w:val="000000"/>
                <w:sz w:val="18"/>
                <w:szCs w:val="18"/>
              </w:rPr>
              <w:t>ller’s</w:t>
            </w:r>
            <w:r w:rsidRPr="001F0B1B">
              <w:rPr>
                <w:rFonts w:ascii="Calibri" w:eastAsia="Times New Roman" w:hAnsi="Calibri" w:cs="Calibri"/>
                <w:bCs/>
                <w:i/>
                <w:iCs/>
                <w:color w:val="000000"/>
                <w:sz w:val="18"/>
                <w:szCs w:val="18"/>
              </w:rPr>
              <w:t xml:space="preserve"> Office/Caltrans</w:t>
            </w:r>
          </w:p>
        </w:tc>
        <w:tc>
          <w:tcPr>
            <w:tcW w:w="2430" w:type="dxa"/>
            <w:tcBorders>
              <w:top w:val="nil"/>
              <w:left w:val="nil"/>
              <w:bottom w:val="single" w:sz="4" w:space="0" w:color="auto"/>
              <w:right w:val="single" w:sz="4" w:space="0" w:color="auto"/>
            </w:tcBorders>
            <w:shd w:val="clear" w:color="000000" w:fill="DBE5F1"/>
            <w:vAlign w:val="center"/>
            <w:hideMark/>
          </w:tcPr>
          <w:p w:rsidR="00761FBD" w:rsidRPr="001F0B1B" w:rsidRDefault="00761FBD" w:rsidP="006A7DD5">
            <w:pPr>
              <w:spacing w:after="0" w:line="240" w:lineRule="auto"/>
              <w:jc w:val="center"/>
              <w:rPr>
                <w:rFonts w:ascii="Calibri" w:eastAsia="Times New Roman" w:hAnsi="Calibri" w:cs="Calibri"/>
                <w:bCs/>
                <w:i/>
                <w:iCs/>
                <w:color w:val="000000"/>
                <w:sz w:val="18"/>
                <w:szCs w:val="18"/>
              </w:rPr>
            </w:pPr>
            <w:r w:rsidRPr="001F0B1B">
              <w:rPr>
                <w:rFonts w:ascii="Calibri" w:eastAsia="Times New Roman" w:hAnsi="Calibri" w:cs="Calibri"/>
                <w:bCs/>
                <w:i/>
                <w:iCs/>
                <w:color w:val="000000"/>
                <w:sz w:val="18"/>
                <w:szCs w:val="18"/>
              </w:rPr>
              <w:t>Low Carbon Transit Operations Program</w:t>
            </w:r>
          </w:p>
        </w:tc>
        <w:tc>
          <w:tcPr>
            <w:tcW w:w="1080" w:type="dxa"/>
            <w:tcBorders>
              <w:top w:val="nil"/>
              <w:left w:val="nil"/>
              <w:bottom w:val="single" w:sz="4" w:space="0" w:color="auto"/>
              <w:right w:val="nil"/>
            </w:tcBorders>
            <w:shd w:val="clear" w:color="000000" w:fill="DBE5F1"/>
            <w:vAlign w:val="center"/>
            <w:hideMark/>
          </w:tcPr>
          <w:p w:rsidR="00761FBD" w:rsidRPr="001F0B1B" w:rsidRDefault="00761FBD" w:rsidP="006A7DD5">
            <w:pPr>
              <w:spacing w:after="0" w:line="240" w:lineRule="auto"/>
              <w:jc w:val="center"/>
              <w:rPr>
                <w:rFonts w:ascii="Calibri" w:eastAsia="Times New Roman" w:hAnsi="Calibri" w:cs="Calibri"/>
                <w:bCs/>
                <w:i/>
                <w:iCs/>
                <w:color w:val="000000"/>
                <w:sz w:val="18"/>
                <w:szCs w:val="18"/>
              </w:rPr>
            </w:pPr>
            <w:r w:rsidRPr="001F0B1B">
              <w:rPr>
                <w:rFonts w:ascii="Calibri" w:eastAsia="Times New Roman" w:hAnsi="Calibri" w:cs="Calibri"/>
                <w:bCs/>
                <w:i/>
                <w:iCs/>
                <w:color w:val="000000"/>
                <w:sz w:val="18"/>
                <w:szCs w:val="18"/>
              </w:rPr>
              <w:t>$25 m</w:t>
            </w:r>
          </w:p>
        </w:tc>
        <w:tc>
          <w:tcPr>
            <w:tcW w:w="1710" w:type="dxa"/>
            <w:tcBorders>
              <w:top w:val="nil"/>
              <w:left w:val="single" w:sz="4" w:space="0" w:color="auto"/>
              <w:bottom w:val="single" w:sz="4" w:space="0" w:color="auto"/>
              <w:right w:val="single" w:sz="8" w:space="0" w:color="auto"/>
            </w:tcBorders>
            <w:shd w:val="clear" w:color="000000" w:fill="DBE5F1"/>
            <w:noWrap/>
            <w:vAlign w:val="center"/>
            <w:hideMark/>
          </w:tcPr>
          <w:p w:rsidR="00761FBD" w:rsidRPr="001F0B1B" w:rsidRDefault="00761FBD" w:rsidP="006A7DD5">
            <w:pPr>
              <w:spacing w:after="0" w:line="240" w:lineRule="auto"/>
              <w:jc w:val="center"/>
              <w:rPr>
                <w:rFonts w:ascii="Calibri" w:eastAsia="Times New Roman" w:hAnsi="Calibri" w:cs="Calibri"/>
                <w:color w:val="000000"/>
                <w:sz w:val="18"/>
                <w:szCs w:val="18"/>
              </w:rPr>
            </w:pPr>
            <w:r w:rsidRPr="001F0B1B">
              <w:rPr>
                <w:rFonts w:ascii="Calibri" w:eastAsia="Times New Roman" w:hAnsi="Calibri" w:cs="Calibri"/>
                <w:color w:val="000000"/>
                <w:sz w:val="18"/>
                <w:szCs w:val="18"/>
              </w:rPr>
              <w:t>5%</w:t>
            </w:r>
          </w:p>
        </w:tc>
      </w:tr>
      <w:tr w:rsidR="00761FBD" w:rsidRPr="00761FBD" w:rsidTr="00B94EA2">
        <w:trPr>
          <w:trHeight w:val="510"/>
        </w:trPr>
        <w:tc>
          <w:tcPr>
            <w:tcW w:w="2155" w:type="dxa"/>
            <w:tcBorders>
              <w:top w:val="nil"/>
              <w:left w:val="single" w:sz="8" w:space="0" w:color="auto"/>
              <w:bottom w:val="nil"/>
              <w:right w:val="nil"/>
            </w:tcBorders>
            <w:shd w:val="clear" w:color="000000" w:fill="DBE5F1"/>
            <w:noWrap/>
            <w:vAlign w:val="bottom"/>
            <w:hideMark/>
          </w:tcPr>
          <w:p w:rsidR="00761FBD" w:rsidRPr="00761FBD" w:rsidRDefault="00761FBD" w:rsidP="006A7DD5">
            <w:pPr>
              <w:spacing w:after="0" w:line="240" w:lineRule="auto"/>
              <w:jc w:val="center"/>
              <w:rPr>
                <w:rFonts w:ascii="Calibri" w:eastAsia="Times New Roman" w:hAnsi="Calibri" w:cs="Calibri"/>
                <w:color w:val="000000"/>
                <w:sz w:val="18"/>
                <w:szCs w:val="18"/>
              </w:rPr>
            </w:pPr>
          </w:p>
        </w:tc>
        <w:tc>
          <w:tcPr>
            <w:tcW w:w="2520" w:type="dxa"/>
            <w:tcBorders>
              <w:top w:val="nil"/>
              <w:left w:val="single" w:sz="4" w:space="0" w:color="auto"/>
              <w:bottom w:val="double" w:sz="6" w:space="0" w:color="auto"/>
              <w:right w:val="single" w:sz="4" w:space="0" w:color="auto"/>
            </w:tcBorders>
            <w:shd w:val="clear" w:color="000000" w:fill="DBE5F1"/>
            <w:vAlign w:val="center"/>
            <w:hideMark/>
          </w:tcPr>
          <w:p w:rsidR="00761FBD" w:rsidRPr="005A4116" w:rsidRDefault="005A4116" w:rsidP="006A7DD5">
            <w:pPr>
              <w:spacing w:after="0" w:line="240" w:lineRule="auto"/>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CalSTA/</w:t>
            </w:r>
            <w:r w:rsidR="00761FBD" w:rsidRPr="005A4116">
              <w:rPr>
                <w:rFonts w:ascii="Calibri" w:eastAsia="Times New Roman" w:hAnsi="Calibri" w:cs="Calibri"/>
                <w:b/>
                <w:bCs/>
                <w:i/>
                <w:iCs/>
                <w:color w:val="000000"/>
                <w:sz w:val="20"/>
                <w:szCs w:val="20"/>
              </w:rPr>
              <w:t>Caltrans</w:t>
            </w:r>
          </w:p>
        </w:tc>
        <w:tc>
          <w:tcPr>
            <w:tcW w:w="2430" w:type="dxa"/>
            <w:tcBorders>
              <w:top w:val="nil"/>
              <w:left w:val="nil"/>
              <w:bottom w:val="double" w:sz="6" w:space="0" w:color="auto"/>
              <w:right w:val="single" w:sz="4" w:space="0" w:color="auto"/>
            </w:tcBorders>
            <w:shd w:val="clear" w:color="000000" w:fill="DBE5F1"/>
            <w:vAlign w:val="center"/>
            <w:hideMark/>
          </w:tcPr>
          <w:p w:rsidR="00761FBD" w:rsidRPr="005A4116" w:rsidRDefault="00761FBD" w:rsidP="006A7DD5">
            <w:pPr>
              <w:spacing w:after="0" w:line="240" w:lineRule="auto"/>
              <w:jc w:val="center"/>
              <w:rPr>
                <w:rFonts w:ascii="Calibri" w:eastAsia="Times New Roman" w:hAnsi="Calibri" w:cs="Calibri"/>
                <w:b/>
                <w:bCs/>
                <w:i/>
                <w:iCs/>
                <w:color w:val="000000"/>
                <w:sz w:val="20"/>
                <w:szCs w:val="20"/>
              </w:rPr>
            </w:pPr>
            <w:r w:rsidRPr="005A4116">
              <w:rPr>
                <w:rFonts w:ascii="Calibri" w:eastAsia="Times New Roman" w:hAnsi="Calibri" w:cs="Calibri"/>
                <w:b/>
                <w:bCs/>
                <w:i/>
                <w:iCs/>
                <w:color w:val="000000"/>
                <w:sz w:val="20"/>
                <w:szCs w:val="20"/>
              </w:rPr>
              <w:t>Transit and Intercity Rail Capital Program</w:t>
            </w:r>
          </w:p>
        </w:tc>
        <w:tc>
          <w:tcPr>
            <w:tcW w:w="1080" w:type="dxa"/>
            <w:tcBorders>
              <w:top w:val="nil"/>
              <w:left w:val="nil"/>
              <w:bottom w:val="double" w:sz="6" w:space="0" w:color="auto"/>
              <w:right w:val="nil"/>
            </w:tcBorders>
            <w:shd w:val="clear" w:color="000000" w:fill="DBE5F1"/>
            <w:vAlign w:val="center"/>
            <w:hideMark/>
          </w:tcPr>
          <w:p w:rsidR="00761FBD" w:rsidRPr="005A4116" w:rsidRDefault="00761FBD" w:rsidP="006A7DD5">
            <w:pPr>
              <w:spacing w:after="0" w:line="240" w:lineRule="auto"/>
              <w:jc w:val="center"/>
              <w:rPr>
                <w:rFonts w:ascii="Calibri" w:eastAsia="Times New Roman" w:hAnsi="Calibri" w:cs="Calibri"/>
                <w:b/>
                <w:bCs/>
                <w:i/>
                <w:iCs/>
                <w:color w:val="000000"/>
                <w:sz w:val="20"/>
                <w:szCs w:val="20"/>
              </w:rPr>
            </w:pPr>
            <w:r w:rsidRPr="005A4116">
              <w:rPr>
                <w:rFonts w:ascii="Calibri" w:eastAsia="Times New Roman" w:hAnsi="Calibri" w:cs="Calibri"/>
                <w:b/>
                <w:bCs/>
                <w:i/>
                <w:iCs/>
                <w:color w:val="000000"/>
                <w:sz w:val="20"/>
                <w:szCs w:val="20"/>
              </w:rPr>
              <w:t>$25 m</w:t>
            </w:r>
          </w:p>
        </w:tc>
        <w:tc>
          <w:tcPr>
            <w:tcW w:w="1710" w:type="dxa"/>
            <w:tcBorders>
              <w:top w:val="nil"/>
              <w:left w:val="single" w:sz="4" w:space="0" w:color="auto"/>
              <w:bottom w:val="double" w:sz="6" w:space="0" w:color="auto"/>
              <w:right w:val="single" w:sz="8" w:space="0" w:color="auto"/>
            </w:tcBorders>
            <w:shd w:val="clear" w:color="000000" w:fill="DBE5F1"/>
            <w:noWrap/>
            <w:vAlign w:val="center"/>
            <w:hideMark/>
          </w:tcPr>
          <w:p w:rsidR="00761FBD" w:rsidRPr="005A4116" w:rsidRDefault="00761FBD" w:rsidP="006A7DD5">
            <w:pPr>
              <w:spacing w:after="0" w:line="240" w:lineRule="auto"/>
              <w:jc w:val="center"/>
              <w:rPr>
                <w:rFonts w:ascii="Calibri" w:eastAsia="Times New Roman" w:hAnsi="Calibri" w:cs="Calibri"/>
                <w:b/>
                <w:color w:val="000000"/>
                <w:sz w:val="20"/>
                <w:szCs w:val="20"/>
              </w:rPr>
            </w:pPr>
            <w:r w:rsidRPr="005A4116">
              <w:rPr>
                <w:rFonts w:ascii="Calibri" w:eastAsia="Times New Roman" w:hAnsi="Calibri" w:cs="Calibri"/>
                <w:b/>
                <w:color w:val="000000"/>
                <w:sz w:val="20"/>
                <w:szCs w:val="20"/>
              </w:rPr>
              <w:t>10%</w:t>
            </w:r>
          </w:p>
        </w:tc>
      </w:tr>
      <w:tr w:rsidR="00761FBD" w:rsidRPr="00761FBD" w:rsidTr="00B94EA2">
        <w:trPr>
          <w:trHeight w:val="750"/>
        </w:trPr>
        <w:tc>
          <w:tcPr>
            <w:tcW w:w="2155" w:type="dxa"/>
            <w:tcBorders>
              <w:top w:val="nil"/>
              <w:left w:val="single" w:sz="8" w:space="0" w:color="auto"/>
              <w:bottom w:val="nil"/>
              <w:right w:val="nil"/>
            </w:tcBorders>
            <w:shd w:val="clear" w:color="000000" w:fill="DBE5F1"/>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nil"/>
              <w:left w:val="single" w:sz="4" w:space="0" w:color="auto"/>
              <w:bottom w:val="single" w:sz="4" w:space="0" w:color="auto"/>
              <w:right w:val="single" w:sz="4" w:space="0" w:color="auto"/>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Strategic Growth Council</w:t>
            </w:r>
          </w:p>
        </w:tc>
        <w:tc>
          <w:tcPr>
            <w:tcW w:w="2430" w:type="dxa"/>
            <w:tcBorders>
              <w:top w:val="nil"/>
              <w:left w:val="nil"/>
              <w:bottom w:val="nil"/>
              <w:right w:val="single" w:sz="4" w:space="0" w:color="auto"/>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Affordable Housing and Sustainable Communities Program</w:t>
            </w:r>
          </w:p>
        </w:tc>
        <w:tc>
          <w:tcPr>
            <w:tcW w:w="1080" w:type="dxa"/>
            <w:tcBorders>
              <w:top w:val="nil"/>
              <w:left w:val="nil"/>
              <w:bottom w:val="nil"/>
              <w:right w:val="nil"/>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$130 m</w:t>
            </w:r>
          </w:p>
        </w:tc>
        <w:tc>
          <w:tcPr>
            <w:tcW w:w="1710" w:type="dxa"/>
            <w:tcBorders>
              <w:top w:val="nil"/>
              <w:left w:val="single" w:sz="4" w:space="0" w:color="auto"/>
              <w:bottom w:val="single" w:sz="4" w:space="0" w:color="auto"/>
              <w:right w:val="single" w:sz="8" w:space="0" w:color="auto"/>
            </w:tcBorders>
            <w:shd w:val="clear" w:color="000000" w:fill="DBE5F1"/>
            <w:noWrap/>
            <w:vAlign w:val="center"/>
            <w:hideMark/>
          </w:tcPr>
          <w:p w:rsidR="00761FBD" w:rsidRPr="00761FBD" w:rsidRDefault="001F0B1B" w:rsidP="006A7DD5">
            <w:pPr>
              <w:spacing w:after="0" w:line="240" w:lineRule="auto"/>
              <w:jc w:val="center"/>
              <w:rPr>
                <w:rFonts w:ascii="Calibri" w:eastAsia="Times New Roman" w:hAnsi="Calibri" w:cs="Calibri"/>
                <w:color w:val="000000"/>
              </w:rPr>
            </w:pPr>
            <w:r w:rsidRPr="001F0B1B">
              <w:rPr>
                <w:rFonts w:ascii="Calibri" w:eastAsia="Times New Roman" w:hAnsi="Calibri" w:cs="Calibri"/>
                <w:color w:val="000000"/>
                <w:sz w:val="18"/>
                <w:szCs w:val="18"/>
              </w:rPr>
              <w:t>20%</w:t>
            </w:r>
          </w:p>
        </w:tc>
      </w:tr>
      <w:tr w:rsidR="00761FBD" w:rsidRPr="00761FBD" w:rsidTr="00B94EA2">
        <w:trPr>
          <w:trHeight w:val="503"/>
        </w:trPr>
        <w:tc>
          <w:tcPr>
            <w:tcW w:w="2155" w:type="dxa"/>
            <w:tcBorders>
              <w:top w:val="nil"/>
              <w:left w:val="single" w:sz="8" w:space="0" w:color="auto"/>
              <w:bottom w:val="double" w:sz="6" w:space="0" w:color="auto"/>
              <w:right w:val="single" w:sz="4" w:space="0" w:color="auto"/>
            </w:tcBorders>
            <w:shd w:val="clear" w:color="000000" w:fill="DBE5F1"/>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nil"/>
              <w:left w:val="nil"/>
              <w:bottom w:val="double" w:sz="6" w:space="0" w:color="auto"/>
              <w:right w:val="single" w:sz="4" w:space="0" w:color="auto"/>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Air Resources Board</w:t>
            </w:r>
          </w:p>
        </w:tc>
        <w:tc>
          <w:tcPr>
            <w:tcW w:w="2430" w:type="dxa"/>
            <w:tcBorders>
              <w:top w:val="single" w:sz="4" w:space="0" w:color="auto"/>
              <w:left w:val="nil"/>
              <w:bottom w:val="double" w:sz="6" w:space="0" w:color="auto"/>
              <w:right w:val="single" w:sz="4" w:space="0" w:color="auto"/>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Low Carbon Transportation</w:t>
            </w:r>
          </w:p>
        </w:tc>
        <w:tc>
          <w:tcPr>
            <w:tcW w:w="1080" w:type="dxa"/>
            <w:tcBorders>
              <w:top w:val="single" w:sz="4" w:space="0" w:color="auto"/>
              <w:left w:val="nil"/>
              <w:bottom w:val="double" w:sz="6" w:space="0" w:color="auto"/>
              <w:right w:val="nil"/>
            </w:tcBorders>
            <w:shd w:val="clear" w:color="000000" w:fill="DBE5F1"/>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$200 m</w:t>
            </w:r>
          </w:p>
        </w:tc>
        <w:tc>
          <w:tcPr>
            <w:tcW w:w="1710" w:type="dxa"/>
            <w:tcBorders>
              <w:top w:val="nil"/>
              <w:left w:val="single" w:sz="4" w:space="0" w:color="auto"/>
              <w:bottom w:val="double" w:sz="6" w:space="0" w:color="auto"/>
              <w:right w:val="single" w:sz="8" w:space="0" w:color="auto"/>
            </w:tcBorders>
            <w:shd w:val="clear" w:color="000000" w:fill="DBE5F1"/>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r w:rsidR="00761FBD" w:rsidRPr="00761FBD" w:rsidTr="00B94EA2">
        <w:trPr>
          <w:trHeight w:val="510"/>
        </w:trPr>
        <w:tc>
          <w:tcPr>
            <w:tcW w:w="2155" w:type="dxa"/>
            <w:tcBorders>
              <w:top w:val="nil"/>
              <w:left w:val="single" w:sz="8" w:space="0" w:color="auto"/>
              <w:bottom w:val="nil"/>
              <w:right w:val="nil"/>
            </w:tcBorders>
            <w:shd w:val="clear" w:color="000000" w:fill="EAF1DD"/>
            <w:vAlign w:val="bottom"/>
            <w:hideMark/>
          </w:tcPr>
          <w:p w:rsidR="00761FBD" w:rsidRPr="00761FBD" w:rsidRDefault="00761FBD" w:rsidP="00A22014">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Energy Efficiency and Clean Energy</w:t>
            </w:r>
          </w:p>
        </w:tc>
        <w:tc>
          <w:tcPr>
            <w:tcW w:w="2520" w:type="dxa"/>
            <w:tcBorders>
              <w:top w:val="nil"/>
              <w:left w:val="single" w:sz="4" w:space="0" w:color="auto"/>
              <w:bottom w:val="single" w:sz="4" w:space="0" w:color="auto"/>
              <w:right w:val="single" w:sz="4" w:space="0" w:color="auto"/>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Dept. of Community Services and Development</w:t>
            </w:r>
          </w:p>
        </w:tc>
        <w:tc>
          <w:tcPr>
            <w:tcW w:w="2430" w:type="dxa"/>
            <w:tcBorders>
              <w:top w:val="nil"/>
              <w:left w:val="nil"/>
              <w:bottom w:val="single" w:sz="4" w:space="0" w:color="auto"/>
              <w:right w:val="single" w:sz="4" w:space="0" w:color="auto"/>
            </w:tcBorders>
            <w:shd w:val="clear" w:color="000000" w:fill="EAF1DD"/>
            <w:vAlign w:val="center"/>
            <w:hideMark/>
          </w:tcPr>
          <w:p w:rsidR="00761FBD" w:rsidRPr="00761FBD" w:rsidRDefault="005A4116" w:rsidP="006A7DD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Energy E</w:t>
            </w:r>
            <w:r w:rsidR="00761FBD" w:rsidRPr="00761FBD">
              <w:rPr>
                <w:rFonts w:ascii="Calibri" w:eastAsia="Times New Roman" w:hAnsi="Calibri" w:cs="Calibri"/>
                <w:color w:val="000000"/>
                <w:sz w:val="18"/>
                <w:szCs w:val="18"/>
              </w:rPr>
              <w:t>fficiency Upgrades/Weatherization</w:t>
            </w:r>
          </w:p>
        </w:tc>
        <w:tc>
          <w:tcPr>
            <w:tcW w:w="1080" w:type="dxa"/>
            <w:tcBorders>
              <w:top w:val="nil"/>
              <w:left w:val="nil"/>
              <w:bottom w:val="single" w:sz="4" w:space="0" w:color="auto"/>
              <w:right w:val="nil"/>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$75 m</w:t>
            </w:r>
          </w:p>
        </w:tc>
        <w:tc>
          <w:tcPr>
            <w:tcW w:w="1710" w:type="dxa"/>
            <w:tcBorders>
              <w:top w:val="nil"/>
              <w:left w:val="single" w:sz="4" w:space="0" w:color="auto"/>
              <w:bottom w:val="single" w:sz="4" w:space="0" w:color="auto"/>
              <w:right w:val="single" w:sz="8" w:space="0" w:color="auto"/>
            </w:tcBorders>
            <w:shd w:val="clear" w:color="000000" w:fill="EAF1DD"/>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r w:rsidR="00761FBD" w:rsidRPr="00761FBD" w:rsidTr="00B94EA2">
        <w:trPr>
          <w:trHeight w:val="495"/>
        </w:trPr>
        <w:tc>
          <w:tcPr>
            <w:tcW w:w="2155" w:type="dxa"/>
            <w:tcBorders>
              <w:top w:val="nil"/>
              <w:left w:val="single" w:sz="8" w:space="0" w:color="auto"/>
              <w:bottom w:val="nil"/>
              <w:right w:val="nil"/>
            </w:tcBorders>
            <w:shd w:val="clear" w:color="000000" w:fill="EAF1DD"/>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nil"/>
              <w:left w:val="single" w:sz="4" w:space="0" w:color="auto"/>
              <w:bottom w:val="single" w:sz="4" w:space="0" w:color="auto"/>
              <w:right w:val="single" w:sz="4" w:space="0" w:color="auto"/>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Energy Commission</w:t>
            </w:r>
          </w:p>
        </w:tc>
        <w:tc>
          <w:tcPr>
            <w:tcW w:w="2430" w:type="dxa"/>
            <w:tcBorders>
              <w:top w:val="nil"/>
              <w:left w:val="nil"/>
              <w:bottom w:val="single" w:sz="4" w:space="0" w:color="auto"/>
              <w:right w:val="single" w:sz="4" w:space="0" w:color="auto"/>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Energy Efficiency for Public Buildings</w:t>
            </w:r>
          </w:p>
        </w:tc>
        <w:tc>
          <w:tcPr>
            <w:tcW w:w="1080" w:type="dxa"/>
            <w:tcBorders>
              <w:top w:val="nil"/>
              <w:left w:val="nil"/>
              <w:bottom w:val="single" w:sz="4" w:space="0" w:color="auto"/>
              <w:right w:val="nil"/>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$20 m</w:t>
            </w:r>
          </w:p>
        </w:tc>
        <w:tc>
          <w:tcPr>
            <w:tcW w:w="1710" w:type="dxa"/>
            <w:tcBorders>
              <w:top w:val="nil"/>
              <w:left w:val="single" w:sz="4" w:space="0" w:color="auto"/>
              <w:bottom w:val="single" w:sz="4" w:space="0" w:color="auto"/>
              <w:right w:val="single" w:sz="8" w:space="0" w:color="auto"/>
            </w:tcBorders>
            <w:shd w:val="clear" w:color="000000" w:fill="EAF1DD"/>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r w:rsidR="00761FBD" w:rsidRPr="00761FBD" w:rsidTr="00B94EA2">
        <w:trPr>
          <w:trHeight w:val="510"/>
        </w:trPr>
        <w:tc>
          <w:tcPr>
            <w:tcW w:w="2155" w:type="dxa"/>
            <w:tcBorders>
              <w:top w:val="nil"/>
              <w:left w:val="single" w:sz="8" w:space="0" w:color="auto"/>
              <w:bottom w:val="double" w:sz="6" w:space="0" w:color="auto"/>
              <w:right w:val="nil"/>
            </w:tcBorders>
            <w:shd w:val="clear" w:color="000000" w:fill="EAF1DD"/>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nil"/>
              <w:left w:val="single" w:sz="4" w:space="0" w:color="auto"/>
              <w:bottom w:val="double" w:sz="6" w:space="0" w:color="auto"/>
              <w:right w:val="single" w:sz="4" w:space="0" w:color="auto"/>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Dept. of Food and Agriculture</w:t>
            </w:r>
          </w:p>
        </w:tc>
        <w:tc>
          <w:tcPr>
            <w:tcW w:w="2430" w:type="dxa"/>
            <w:tcBorders>
              <w:top w:val="nil"/>
              <w:left w:val="nil"/>
              <w:bottom w:val="double" w:sz="6" w:space="0" w:color="auto"/>
              <w:right w:val="single" w:sz="4" w:space="0" w:color="auto"/>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Agricultural Energy and Operational Efficiency</w:t>
            </w:r>
          </w:p>
        </w:tc>
        <w:tc>
          <w:tcPr>
            <w:tcW w:w="1080" w:type="dxa"/>
            <w:tcBorders>
              <w:top w:val="nil"/>
              <w:left w:val="nil"/>
              <w:bottom w:val="double" w:sz="6" w:space="0" w:color="auto"/>
              <w:right w:val="nil"/>
            </w:tcBorders>
            <w:shd w:val="clear" w:color="000000" w:fill="EAF1DD"/>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$ 15 m</w:t>
            </w:r>
          </w:p>
        </w:tc>
        <w:tc>
          <w:tcPr>
            <w:tcW w:w="1710" w:type="dxa"/>
            <w:tcBorders>
              <w:top w:val="nil"/>
              <w:left w:val="single" w:sz="4" w:space="0" w:color="auto"/>
              <w:bottom w:val="double" w:sz="6" w:space="0" w:color="auto"/>
              <w:right w:val="single" w:sz="8" w:space="0" w:color="auto"/>
            </w:tcBorders>
            <w:shd w:val="clear" w:color="000000" w:fill="EAF1DD"/>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r w:rsidR="00761FBD" w:rsidRPr="00761FBD" w:rsidTr="00B94EA2">
        <w:trPr>
          <w:trHeight w:val="510"/>
        </w:trPr>
        <w:tc>
          <w:tcPr>
            <w:tcW w:w="2155" w:type="dxa"/>
            <w:tcBorders>
              <w:top w:val="nil"/>
              <w:left w:val="single" w:sz="8" w:space="0" w:color="auto"/>
              <w:bottom w:val="nil"/>
              <w:right w:val="single" w:sz="4" w:space="0" w:color="auto"/>
            </w:tcBorders>
            <w:shd w:val="clear" w:color="000000" w:fill="FDE9D9"/>
            <w:vAlign w:val="bottom"/>
            <w:hideMark/>
          </w:tcPr>
          <w:p w:rsidR="00761FBD" w:rsidRPr="00761FBD" w:rsidRDefault="00761FBD" w:rsidP="00A22014">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Natural Resources and Waste Diversion</w:t>
            </w:r>
          </w:p>
        </w:tc>
        <w:tc>
          <w:tcPr>
            <w:tcW w:w="2520" w:type="dxa"/>
            <w:tcBorders>
              <w:top w:val="nil"/>
              <w:left w:val="nil"/>
              <w:bottom w:val="single" w:sz="4" w:space="0" w:color="auto"/>
              <w:right w:val="single" w:sz="4" w:space="0" w:color="auto"/>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Dept. of Fish and Wildlife</w:t>
            </w:r>
          </w:p>
        </w:tc>
        <w:tc>
          <w:tcPr>
            <w:tcW w:w="2430" w:type="dxa"/>
            <w:tcBorders>
              <w:top w:val="nil"/>
              <w:left w:val="nil"/>
              <w:bottom w:val="single" w:sz="4" w:space="0" w:color="auto"/>
              <w:right w:val="single" w:sz="4" w:space="0" w:color="auto"/>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Wetlands and Watershed Restoration</w:t>
            </w:r>
          </w:p>
        </w:tc>
        <w:tc>
          <w:tcPr>
            <w:tcW w:w="1080" w:type="dxa"/>
            <w:tcBorders>
              <w:top w:val="nil"/>
              <w:left w:val="nil"/>
              <w:bottom w:val="single" w:sz="4" w:space="0" w:color="auto"/>
              <w:right w:val="nil"/>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$25 m</w:t>
            </w:r>
          </w:p>
        </w:tc>
        <w:tc>
          <w:tcPr>
            <w:tcW w:w="1710" w:type="dxa"/>
            <w:tcBorders>
              <w:top w:val="nil"/>
              <w:left w:val="single" w:sz="4" w:space="0" w:color="auto"/>
              <w:bottom w:val="single" w:sz="4" w:space="0" w:color="auto"/>
              <w:right w:val="single" w:sz="8" w:space="0" w:color="auto"/>
            </w:tcBorders>
            <w:shd w:val="clear" w:color="000000" w:fill="FDE9D9"/>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r w:rsidR="00761FBD" w:rsidRPr="00761FBD" w:rsidTr="00B94EA2">
        <w:trPr>
          <w:trHeight w:val="482"/>
        </w:trPr>
        <w:tc>
          <w:tcPr>
            <w:tcW w:w="2155" w:type="dxa"/>
            <w:tcBorders>
              <w:top w:val="nil"/>
              <w:left w:val="single" w:sz="8" w:space="0" w:color="auto"/>
              <w:bottom w:val="nil"/>
              <w:right w:val="single" w:sz="4" w:space="0" w:color="auto"/>
            </w:tcBorders>
            <w:shd w:val="clear" w:color="000000" w:fill="FDE9D9"/>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nil"/>
              <w:left w:val="nil"/>
              <w:bottom w:val="single" w:sz="4" w:space="0" w:color="auto"/>
              <w:right w:val="single" w:sz="4" w:space="0" w:color="auto"/>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Dept. of Forestry and Fire protection</w:t>
            </w:r>
          </w:p>
        </w:tc>
        <w:tc>
          <w:tcPr>
            <w:tcW w:w="2430" w:type="dxa"/>
            <w:tcBorders>
              <w:top w:val="nil"/>
              <w:left w:val="nil"/>
              <w:bottom w:val="single" w:sz="4" w:space="0" w:color="auto"/>
              <w:right w:val="single" w:sz="4" w:space="0" w:color="auto"/>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Fire Prevention and Urban Forestry Projects</w:t>
            </w:r>
          </w:p>
        </w:tc>
        <w:tc>
          <w:tcPr>
            <w:tcW w:w="1080" w:type="dxa"/>
            <w:tcBorders>
              <w:top w:val="nil"/>
              <w:left w:val="nil"/>
              <w:bottom w:val="single" w:sz="4" w:space="0" w:color="auto"/>
              <w:right w:val="nil"/>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$42 m</w:t>
            </w:r>
          </w:p>
        </w:tc>
        <w:tc>
          <w:tcPr>
            <w:tcW w:w="1710" w:type="dxa"/>
            <w:tcBorders>
              <w:top w:val="nil"/>
              <w:left w:val="single" w:sz="4" w:space="0" w:color="auto"/>
              <w:bottom w:val="single" w:sz="4" w:space="0" w:color="auto"/>
              <w:right w:val="single" w:sz="8" w:space="0" w:color="auto"/>
            </w:tcBorders>
            <w:shd w:val="clear" w:color="000000" w:fill="FDE9D9"/>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r w:rsidR="008B54B1" w:rsidRPr="00761FBD" w:rsidTr="00B94EA2">
        <w:trPr>
          <w:trHeight w:val="312"/>
        </w:trPr>
        <w:tc>
          <w:tcPr>
            <w:tcW w:w="2155" w:type="dxa"/>
            <w:tcBorders>
              <w:top w:val="nil"/>
              <w:left w:val="single" w:sz="8" w:space="0" w:color="auto"/>
              <w:bottom w:val="single" w:sz="4" w:space="0" w:color="auto"/>
              <w:right w:val="single" w:sz="4" w:space="0" w:color="auto"/>
            </w:tcBorders>
            <w:shd w:val="clear" w:color="000000" w:fill="FDE9D9"/>
            <w:noWrap/>
            <w:vAlign w:val="bottom"/>
            <w:hideMark/>
          </w:tcPr>
          <w:p w:rsidR="00761FBD" w:rsidRPr="00761FBD" w:rsidRDefault="00761FBD" w:rsidP="00A22014">
            <w:pPr>
              <w:spacing w:after="0" w:line="240" w:lineRule="auto"/>
              <w:rPr>
                <w:rFonts w:ascii="Calibri" w:eastAsia="Times New Roman" w:hAnsi="Calibri" w:cs="Calibri"/>
                <w:color w:val="000000"/>
                <w:sz w:val="18"/>
                <w:szCs w:val="18"/>
              </w:rPr>
            </w:pPr>
            <w:r w:rsidRPr="00761FBD">
              <w:rPr>
                <w:rFonts w:ascii="Calibri" w:eastAsia="Times New Roman" w:hAnsi="Calibri" w:cs="Calibri"/>
                <w:color w:val="000000"/>
                <w:sz w:val="18"/>
                <w:szCs w:val="18"/>
              </w:rPr>
              <w:t> </w:t>
            </w:r>
          </w:p>
        </w:tc>
        <w:tc>
          <w:tcPr>
            <w:tcW w:w="2520" w:type="dxa"/>
            <w:tcBorders>
              <w:top w:val="nil"/>
              <w:left w:val="nil"/>
              <w:bottom w:val="single" w:sz="4" w:space="0" w:color="auto"/>
              <w:right w:val="single" w:sz="4" w:space="0" w:color="auto"/>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Cal Recycle</w:t>
            </w:r>
          </w:p>
        </w:tc>
        <w:tc>
          <w:tcPr>
            <w:tcW w:w="2430" w:type="dxa"/>
            <w:tcBorders>
              <w:top w:val="nil"/>
              <w:left w:val="nil"/>
              <w:bottom w:val="single" w:sz="4" w:space="0" w:color="auto"/>
              <w:right w:val="single" w:sz="4" w:space="0" w:color="auto"/>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Waste Diversion</w:t>
            </w:r>
          </w:p>
        </w:tc>
        <w:tc>
          <w:tcPr>
            <w:tcW w:w="1080" w:type="dxa"/>
            <w:tcBorders>
              <w:top w:val="nil"/>
              <w:left w:val="nil"/>
              <w:bottom w:val="single" w:sz="4" w:space="0" w:color="auto"/>
              <w:right w:val="nil"/>
            </w:tcBorders>
            <w:shd w:val="clear" w:color="000000" w:fill="FDE9D9"/>
            <w:vAlign w:val="center"/>
            <w:hideMark/>
          </w:tcPr>
          <w:p w:rsidR="00761FBD" w:rsidRPr="00761FBD" w:rsidRDefault="00761FBD" w:rsidP="006A7DD5">
            <w:pPr>
              <w:spacing w:after="0" w:line="240" w:lineRule="auto"/>
              <w:jc w:val="center"/>
              <w:rPr>
                <w:rFonts w:ascii="Calibri" w:eastAsia="Times New Roman" w:hAnsi="Calibri" w:cs="Calibri"/>
                <w:color w:val="000000"/>
                <w:sz w:val="18"/>
                <w:szCs w:val="18"/>
              </w:rPr>
            </w:pPr>
            <w:r w:rsidRPr="00761FBD">
              <w:rPr>
                <w:rFonts w:ascii="Calibri" w:eastAsia="Times New Roman" w:hAnsi="Calibri" w:cs="Calibri"/>
                <w:color w:val="000000"/>
                <w:sz w:val="18"/>
                <w:szCs w:val="18"/>
              </w:rPr>
              <w:t>$25 m</w:t>
            </w:r>
          </w:p>
        </w:tc>
        <w:tc>
          <w:tcPr>
            <w:tcW w:w="1710" w:type="dxa"/>
            <w:tcBorders>
              <w:top w:val="nil"/>
              <w:left w:val="single" w:sz="4" w:space="0" w:color="auto"/>
              <w:bottom w:val="single" w:sz="4" w:space="0" w:color="auto"/>
              <w:right w:val="single" w:sz="8" w:space="0" w:color="auto"/>
            </w:tcBorders>
            <w:shd w:val="clear" w:color="000000" w:fill="FDE9D9"/>
            <w:noWrap/>
            <w:vAlign w:val="center"/>
            <w:hideMark/>
          </w:tcPr>
          <w:p w:rsidR="00761FBD" w:rsidRPr="00761FBD" w:rsidRDefault="00761FBD" w:rsidP="006A7DD5">
            <w:pPr>
              <w:spacing w:after="0" w:line="240" w:lineRule="auto"/>
              <w:jc w:val="center"/>
              <w:rPr>
                <w:rFonts w:ascii="Calibri" w:eastAsia="Times New Roman" w:hAnsi="Calibri" w:cs="Calibri"/>
                <w:color w:val="000000"/>
              </w:rPr>
            </w:pPr>
          </w:p>
        </w:tc>
      </w:tr>
    </w:tbl>
    <w:p w:rsidR="00A22014" w:rsidRPr="00810C26" w:rsidRDefault="00A22014" w:rsidP="00A22014">
      <w:pPr>
        <w:spacing w:after="0" w:line="240" w:lineRule="auto"/>
        <w:rPr>
          <w:rFonts w:ascii="Arial" w:hAnsi="Arial" w:cs="Arial"/>
          <w:sz w:val="24"/>
          <w:szCs w:val="24"/>
        </w:rPr>
      </w:pPr>
      <w:r>
        <w:rPr>
          <w:rFonts w:ascii="Arial Narrow" w:hAnsi="Arial Narrow" w:cs="Arial"/>
          <w:b/>
          <w:i/>
          <w:noProof/>
          <w:color w:val="548DD4" w:themeColor="text2" w:themeTint="99"/>
          <w:sz w:val="56"/>
          <w:szCs w:val="56"/>
          <w:lang w:val="en-IN" w:eastAsia="en-IN"/>
        </w:rPr>
        <w:drawing>
          <wp:inline distT="0" distB="0" distL="0" distR="0">
            <wp:extent cx="4136571" cy="723900"/>
            <wp:effectExtent l="0" t="0" r="0" b="0"/>
            <wp:docPr id="25" name="Picture 8" descr="Logo of California State Transport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alSTA Forms\CalSTA Logos\CalSTA_logo_blu_gold_t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571" cy="723900"/>
                    </a:xfrm>
                    <a:prstGeom prst="rect">
                      <a:avLst/>
                    </a:prstGeom>
                    <a:noFill/>
                    <a:ln>
                      <a:noFill/>
                    </a:ln>
                  </pic:spPr>
                </pic:pic>
              </a:graphicData>
            </a:graphic>
          </wp:inline>
        </w:drawing>
      </w:r>
      <w:r w:rsidRPr="00810C26">
        <w:rPr>
          <w:noProof/>
        </w:rPr>
        <w:t xml:space="preserve"> </w:t>
      </w:r>
      <w:r>
        <w:rPr>
          <w:rFonts w:ascii="Arial Narrow" w:hAnsi="Arial Narrow" w:cs="Arial"/>
          <w:b/>
          <w:i/>
          <w:color w:val="548DD4" w:themeColor="text2" w:themeTint="99"/>
          <w:sz w:val="96"/>
          <w:szCs w:val="96"/>
        </w:rPr>
        <w:t xml:space="preserve">          </w:t>
      </w:r>
      <w:r w:rsidRPr="00810C26">
        <w:rPr>
          <w:rFonts w:ascii="Arial Narrow" w:hAnsi="Arial Narrow" w:cs="Arial"/>
          <w:b/>
          <w:i/>
          <w:noProof/>
          <w:color w:val="548DD4" w:themeColor="text2" w:themeTint="99"/>
          <w:sz w:val="96"/>
          <w:szCs w:val="96"/>
          <w:lang w:val="en-IN" w:eastAsia="en-IN"/>
        </w:rPr>
        <w:drawing>
          <wp:inline distT="0" distB="0" distL="0" distR="0">
            <wp:extent cx="666750" cy="609600"/>
            <wp:effectExtent l="0" t="0" r="0" b="0"/>
            <wp:docPr id="26"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ramp.dot.ca.gov/hq/paffairs/CT_Vertical/C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4B33C2" w:rsidRDefault="004B33C2" w:rsidP="00D3625B">
      <w:pPr>
        <w:spacing w:after="0" w:line="240" w:lineRule="auto"/>
        <w:jc w:val="center"/>
        <w:rPr>
          <w:rFonts w:ascii="Arial Black" w:hAnsi="Arial Black"/>
          <w:sz w:val="40"/>
          <w:szCs w:val="40"/>
        </w:rPr>
      </w:pPr>
    </w:p>
    <w:p w:rsidR="00E14893" w:rsidRPr="00064E8E" w:rsidRDefault="001F0B1B" w:rsidP="00AA13E2">
      <w:pPr>
        <w:pStyle w:val="Title"/>
      </w:pPr>
      <w:r w:rsidRPr="00064E8E">
        <w:t>Transit and Intercity Rail Capital Program</w:t>
      </w:r>
      <w:r w:rsidR="00EF75A6">
        <w:t xml:space="preserve"> </w:t>
      </w:r>
    </w:p>
    <w:p w:rsidR="00D3625B" w:rsidRPr="00AA13E2" w:rsidRDefault="001F0B1B" w:rsidP="00AA13E2">
      <w:pPr>
        <w:pStyle w:val="Subtitle"/>
      </w:pPr>
      <w:r w:rsidRPr="00064E8E">
        <w:t>Fact Sheet</w:t>
      </w:r>
    </w:p>
    <w:p w:rsidR="001F0B1B" w:rsidRPr="00064E8E" w:rsidRDefault="001F0B1B" w:rsidP="00D3625B">
      <w:pPr>
        <w:spacing w:after="0" w:line="240" w:lineRule="auto"/>
        <w:jc w:val="center"/>
        <w:rPr>
          <w:rFonts w:ascii="Arial Black" w:hAnsi="Arial Black"/>
          <w:sz w:val="36"/>
          <w:szCs w:val="40"/>
        </w:rPr>
      </w:pPr>
    </w:p>
    <w:p w:rsidR="00D3625B" w:rsidRPr="00093B3E" w:rsidRDefault="001F0B1B" w:rsidP="00D3625B">
      <w:pPr>
        <w:spacing w:after="0" w:line="240" w:lineRule="auto"/>
        <w:rPr>
          <w:rFonts w:ascii="Arial" w:hAnsi="Arial" w:cs="Arial"/>
          <w:i/>
          <w:color w:val="FF0000"/>
          <w:sz w:val="24"/>
          <w:szCs w:val="24"/>
        </w:rPr>
      </w:pPr>
      <w:r w:rsidRPr="007746B2">
        <w:rPr>
          <w:rFonts w:ascii="Arial" w:hAnsi="Arial" w:cs="Arial"/>
          <w:b/>
          <w:sz w:val="24"/>
          <w:szCs w:val="24"/>
        </w:rPr>
        <w:t>Background</w:t>
      </w:r>
      <w:r w:rsidR="00BC7BE2">
        <w:rPr>
          <w:rFonts w:ascii="Arial" w:hAnsi="Arial" w:cs="Arial"/>
          <w:b/>
          <w:sz w:val="24"/>
          <w:szCs w:val="24"/>
        </w:rPr>
        <w:t xml:space="preserve"> and Funding</w:t>
      </w:r>
      <w:r w:rsidR="00C7209D">
        <w:rPr>
          <w:rFonts w:ascii="Arial" w:hAnsi="Arial" w:cs="Arial"/>
          <w:b/>
          <w:sz w:val="24"/>
          <w:szCs w:val="24"/>
        </w:rPr>
        <w:t xml:space="preserve">:  </w:t>
      </w:r>
      <w:r w:rsidR="00D3625B" w:rsidRPr="007746B2">
        <w:rPr>
          <w:rFonts w:ascii="Arial" w:hAnsi="Arial" w:cs="Arial"/>
          <w:sz w:val="24"/>
          <w:szCs w:val="24"/>
        </w:rPr>
        <w:t xml:space="preserve">The </w:t>
      </w:r>
      <w:r w:rsidRPr="007746B2">
        <w:rPr>
          <w:rFonts w:ascii="Arial" w:hAnsi="Arial" w:cs="Arial"/>
          <w:sz w:val="24"/>
          <w:szCs w:val="24"/>
        </w:rPr>
        <w:t xml:space="preserve">Transit and Intercity Rail Capital Program is one of several programs </w:t>
      </w:r>
      <w:r w:rsidR="007746B2" w:rsidRPr="007746B2">
        <w:rPr>
          <w:rFonts w:ascii="Arial" w:hAnsi="Arial" w:cs="Arial"/>
          <w:sz w:val="24"/>
          <w:szCs w:val="24"/>
        </w:rPr>
        <w:t>funded as part of 2014-15 State of California budget</w:t>
      </w:r>
      <w:r w:rsidR="00157623">
        <w:rPr>
          <w:rFonts w:ascii="Arial" w:hAnsi="Arial" w:cs="Arial"/>
          <w:sz w:val="24"/>
          <w:szCs w:val="24"/>
        </w:rPr>
        <w:t xml:space="preserve"> (</w:t>
      </w:r>
      <w:r w:rsidR="00E14893">
        <w:rPr>
          <w:rFonts w:ascii="Arial" w:hAnsi="Arial" w:cs="Arial"/>
          <w:sz w:val="24"/>
          <w:szCs w:val="24"/>
        </w:rPr>
        <w:t>by</w:t>
      </w:r>
      <w:r w:rsidR="007746B2" w:rsidRPr="007746B2">
        <w:rPr>
          <w:rFonts w:ascii="Arial" w:hAnsi="Arial" w:cs="Arial"/>
          <w:sz w:val="24"/>
          <w:szCs w:val="24"/>
        </w:rPr>
        <w:t xml:space="preserve"> Senate Bill 852 and Senate Bill 862</w:t>
      </w:r>
      <w:r w:rsidR="00157623">
        <w:rPr>
          <w:rFonts w:ascii="Arial" w:hAnsi="Arial" w:cs="Arial"/>
          <w:sz w:val="24"/>
          <w:szCs w:val="24"/>
        </w:rPr>
        <w:t>)</w:t>
      </w:r>
      <w:r w:rsidR="007746B2" w:rsidRPr="007746B2">
        <w:rPr>
          <w:rFonts w:ascii="Arial" w:hAnsi="Arial" w:cs="Arial"/>
          <w:sz w:val="24"/>
          <w:szCs w:val="24"/>
        </w:rPr>
        <w:t xml:space="preserve"> </w:t>
      </w:r>
      <w:r w:rsidR="00C7209D">
        <w:rPr>
          <w:rFonts w:ascii="Arial" w:hAnsi="Arial" w:cs="Arial"/>
          <w:sz w:val="24"/>
          <w:szCs w:val="24"/>
        </w:rPr>
        <w:t xml:space="preserve">that have a goal of </w:t>
      </w:r>
      <w:r w:rsidR="007746B2" w:rsidRPr="007746B2">
        <w:rPr>
          <w:rFonts w:ascii="Arial" w:hAnsi="Arial" w:cs="Arial"/>
          <w:sz w:val="24"/>
          <w:szCs w:val="24"/>
        </w:rPr>
        <w:t>reduce</w:t>
      </w:r>
      <w:r w:rsidR="00C7209D">
        <w:rPr>
          <w:rFonts w:ascii="Arial" w:hAnsi="Arial" w:cs="Arial"/>
          <w:sz w:val="24"/>
          <w:szCs w:val="24"/>
        </w:rPr>
        <w:t>d</w:t>
      </w:r>
      <w:r w:rsidR="007746B2" w:rsidRPr="007746B2">
        <w:rPr>
          <w:rFonts w:ascii="Arial" w:hAnsi="Arial" w:cs="Arial"/>
          <w:sz w:val="24"/>
          <w:szCs w:val="24"/>
        </w:rPr>
        <w:t xml:space="preserve"> greenhouse gas emissions and achiev</w:t>
      </w:r>
      <w:r w:rsidR="00C7209D">
        <w:rPr>
          <w:rFonts w:ascii="Arial" w:hAnsi="Arial" w:cs="Arial"/>
          <w:sz w:val="24"/>
          <w:szCs w:val="24"/>
        </w:rPr>
        <w:t>ement of</w:t>
      </w:r>
      <w:r w:rsidR="007746B2" w:rsidRPr="007746B2">
        <w:rPr>
          <w:rFonts w:ascii="Arial" w:hAnsi="Arial" w:cs="Arial"/>
          <w:sz w:val="24"/>
          <w:szCs w:val="24"/>
        </w:rPr>
        <w:t xml:space="preserve"> other benefits.  </w:t>
      </w:r>
      <w:r w:rsidR="007746B2">
        <w:rPr>
          <w:rFonts w:ascii="Arial" w:hAnsi="Arial" w:cs="Arial"/>
          <w:sz w:val="24"/>
          <w:szCs w:val="24"/>
        </w:rPr>
        <w:t xml:space="preserve">These programs are funded by </w:t>
      </w:r>
      <w:r w:rsidR="00E14893">
        <w:rPr>
          <w:rFonts w:ascii="Arial" w:hAnsi="Arial" w:cs="Arial"/>
          <w:sz w:val="24"/>
          <w:szCs w:val="24"/>
        </w:rPr>
        <w:t xml:space="preserve">auction proceeds from the California Air Resource Board’s Cap-and-Trade Program, </w:t>
      </w:r>
      <w:r w:rsidR="00C7209D">
        <w:rPr>
          <w:rFonts w:ascii="Arial" w:hAnsi="Arial" w:cs="Arial"/>
          <w:sz w:val="24"/>
          <w:szCs w:val="24"/>
        </w:rPr>
        <w:t>with proceeds</w:t>
      </w:r>
      <w:r w:rsidR="00E14893">
        <w:rPr>
          <w:rFonts w:ascii="Arial" w:hAnsi="Arial" w:cs="Arial"/>
          <w:sz w:val="24"/>
          <w:szCs w:val="24"/>
        </w:rPr>
        <w:t xml:space="preserve"> deposited into the Greenhouse Gas Reduction Fund.  The </w:t>
      </w:r>
      <w:r w:rsidR="00D3625B" w:rsidRPr="007746B2">
        <w:rPr>
          <w:rFonts w:ascii="Arial" w:hAnsi="Arial" w:cs="Arial"/>
          <w:sz w:val="24"/>
          <w:szCs w:val="24"/>
        </w:rPr>
        <w:t xml:space="preserve">following chart </w:t>
      </w:r>
      <w:r w:rsidR="00E14893">
        <w:rPr>
          <w:rFonts w:ascii="Arial" w:hAnsi="Arial" w:cs="Arial"/>
          <w:sz w:val="24"/>
          <w:szCs w:val="24"/>
        </w:rPr>
        <w:t xml:space="preserve">lists the </w:t>
      </w:r>
      <w:r w:rsidR="00D3625B" w:rsidRPr="007746B2">
        <w:rPr>
          <w:rFonts w:ascii="Arial" w:hAnsi="Arial" w:cs="Arial"/>
          <w:sz w:val="24"/>
          <w:szCs w:val="24"/>
        </w:rPr>
        <w:t>programs funded by the Greenhouse Gas Reduction</w:t>
      </w:r>
      <w:r w:rsidR="00E14893">
        <w:rPr>
          <w:rFonts w:ascii="Arial" w:hAnsi="Arial" w:cs="Arial"/>
          <w:sz w:val="24"/>
          <w:szCs w:val="24"/>
        </w:rPr>
        <w:t xml:space="preserve"> Fund, and the amount of each program</w:t>
      </w:r>
      <w:r w:rsidR="00173E4A">
        <w:rPr>
          <w:rFonts w:ascii="Arial" w:hAnsi="Arial" w:cs="Arial"/>
          <w:sz w:val="24"/>
          <w:szCs w:val="24"/>
        </w:rPr>
        <w:t>’</w:t>
      </w:r>
      <w:r w:rsidR="00E14893">
        <w:rPr>
          <w:rFonts w:ascii="Arial" w:hAnsi="Arial" w:cs="Arial"/>
          <w:sz w:val="24"/>
          <w:szCs w:val="24"/>
        </w:rPr>
        <w:t>s funding in 2014-15, and as an ongoing share of Greenhouse Gas Reduction Funds, where applicable.  The Transit and Intercity Rail Capital Program will receive $25 million in 2014-15 and 10 percent of annual state Cap-and-Trade auction proceeds beginning in 2015</w:t>
      </w:r>
      <w:r w:rsidR="00E14893">
        <w:rPr>
          <w:rFonts w:ascii="Arial" w:hAnsi="Arial" w:cs="Arial"/>
          <w:sz w:val="24"/>
          <w:szCs w:val="24"/>
        </w:rPr>
        <w:noBreakHyphen/>
        <w:t>16.</w:t>
      </w:r>
    </w:p>
    <w:p w:rsidR="00D3625B" w:rsidRDefault="00D3625B" w:rsidP="00761FBD">
      <w:pPr>
        <w:spacing w:after="0" w:line="240" w:lineRule="auto"/>
        <w:rPr>
          <w:rFonts w:ascii="Arial" w:hAnsi="Arial" w:cs="Arial"/>
          <w:b/>
          <w:i/>
          <w:sz w:val="24"/>
          <w:szCs w:val="24"/>
        </w:rPr>
      </w:pPr>
    </w:p>
    <w:p w:rsidR="00BC7BE2" w:rsidRDefault="00BC7BE2" w:rsidP="00761FBD">
      <w:pPr>
        <w:spacing w:after="0" w:line="240" w:lineRule="auto"/>
        <w:rPr>
          <w:rFonts w:ascii="Arial" w:hAnsi="Arial" w:cs="Arial"/>
          <w:b/>
          <w:sz w:val="24"/>
          <w:szCs w:val="24"/>
        </w:rPr>
      </w:pPr>
      <w:r>
        <w:rPr>
          <w:rFonts w:ascii="Arial" w:hAnsi="Arial" w:cs="Arial"/>
          <w:b/>
          <w:sz w:val="24"/>
          <w:szCs w:val="24"/>
        </w:rPr>
        <w:br w:type="page"/>
      </w:r>
    </w:p>
    <w:p w:rsidR="00EF75A6" w:rsidRPr="00B94EA2" w:rsidRDefault="00EF75A6" w:rsidP="00B94EA2">
      <w:pPr>
        <w:spacing w:after="120"/>
        <w:ind w:left="108"/>
      </w:pPr>
      <w:r w:rsidRPr="004A1594">
        <w:rPr>
          <w:rFonts w:ascii="Arial Narrow" w:hAnsi="Arial Narrow" w:cs="Arial"/>
          <w:b/>
          <w:i/>
          <w:noProof/>
          <w:color w:val="548DD4" w:themeColor="text2" w:themeTint="99"/>
          <w:sz w:val="56"/>
          <w:szCs w:val="56"/>
          <w:lang w:val="en-IN" w:eastAsia="en-IN"/>
        </w:rPr>
        <w:lastRenderedPageBreak/>
        <w:drawing>
          <wp:inline distT="0" distB="0" distL="0" distR="0" wp14:anchorId="40CF9D82" wp14:editId="77DA5658">
            <wp:extent cx="4136571" cy="723900"/>
            <wp:effectExtent l="0" t="0" r="0" b="0"/>
            <wp:docPr id="1" name="Picture 8" descr="Logo of California State Transport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alSTA Forms\CalSTA Logos\CalSTA_logo_blu_gold_t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571" cy="723900"/>
                    </a:xfrm>
                    <a:prstGeom prst="rect">
                      <a:avLst/>
                    </a:prstGeom>
                    <a:noFill/>
                    <a:ln>
                      <a:noFill/>
                    </a:ln>
                  </pic:spPr>
                </pic:pic>
              </a:graphicData>
            </a:graphic>
          </wp:inline>
        </w:drawing>
      </w:r>
      <w:r w:rsidRPr="004A1594">
        <w:rPr>
          <w:noProof/>
        </w:rPr>
        <w:t xml:space="preserve"> </w:t>
      </w:r>
      <w:r w:rsidRPr="004A1594">
        <w:rPr>
          <w:rFonts w:ascii="Arial Narrow" w:hAnsi="Arial Narrow" w:cs="Arial"/>
          <w:b/>
          <w:i/>
          <w:color w:val="548DD4" w:themeColor="text2" w:themeTint="99"/>
          <w:sz w:val="96"/>
          <w:szCs w:val="96"/>
        </w:rPr>
        <w:t xml:space="preserve">          </w:t>
      </w:r>
      <w:r w:rsidRPr="004A1594">
        <w:rPr>
          <w:rFonts w:ascii="Arial Narrow" w:hAnsi="Arial Narrow" w:cs="Arial"/>
          <w:b/>
          <w:i/>
          <w:noProof/>
          <w:color w:val="548DD4" w:themeColor="text2" w:themeTint="99"/>
          <w:sz w:val="96"/>
          <w:szCs w:val="96"/>
          <w:lang w:val="en-IN" w:eastAsia="en-IN"/>
        </w:rPr>
        <w:drawing>
          <wp:inline distT="0" distB="0" distL="0" distR="0" wp14:anchorId="0E2F712C" wp14:editId="4D155A8F">
            <wp:extent cx="666750" cy="609600"/>
            <wp:effectExtent l="0" t="0" r="0" b="0"/>
            <wp:docPr id="2"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ramp.dot.ca.gov/hq/paffairs/CT_Vertical/C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4B33C2" w:rsidRDefault="004B33C2" w:rsidP="00761FBD">
      <w:pPr>
        <w:spacing w:after="0" w:line="240" w:lineRule="auto"/>
        <w:rPr>
          <w:rFonts w:ascii="Arial" w:hAnsi="Arial" w:cs="Arial"/>
          <w:b/>
          <w:sz w:val="24"/>
          <w:szCs w:val="24"/>
        </w:rPr>
      </w:pPr>
    </w:p>
    <w:p w:rsidR="00761FBD" w:rsidRPr="00157623" w:rsidRDefault="00157623" w:rsidP="00761FBD">
      <w:pPr>
        <w:spacing w:after="0" w:line="240" w:lineRule="auto"/>
        <w:rPr>
          <w:rFonts w:ascii="Arial" w:hAnsi="Arial" w:cs="Arial"/>
          <w:sz w:val="24"/>
          <w:szCs w:val="24"/>
        </w:rPr>
      </w:pPr>
      <w:r w:rsidRPr="00157623">
        <w:rPr>
          <w:rFonts w:ascii="Arial" w:hAnsi="Arial" w:cs="Arial"/>
          <w:b/>
          <w:sz w:val="24"/>
          <w:szCs w:val="24"/>
        </w:rPr>
        <w:t>Legislative His</w:t>
      </w:r>
      <w:r w:rsidR="00761FBD" w:rsidRPr="00157623">
        <w:rPr>
          <w:rFonts w:ascii="Arial" w:hAnsi="Arial" w:cs="Arial"/>
          <w:b/>
          <w:sz w:val="24"/>
          <w:szCs w:val="24"/>
        </w:rPr>
        <w:t>tory</w:t>
      </w:r>
      <w:r w:rsidR="00BC7BE2">
        <w:rPr>
          <w:rFonts w:ascii="Arial" w:hAnsi="Arial" w:cs="Arial"/>
          <w:b/>
          <w:sz w:val="24"/>
          <w:szCs w:val="24"/>
        </w:rPr>
        <w:t>:</w:t>
      </w:r>
      <w:r w:rsidRPr="00157623">
        <w:rPr>
          <w:rFonts w:ascii="Arial" w:hAnsi="Arial" w:cs="Arial"/>
          <w:b/>
          <w:sz w:val="24"/>
          <w:szCs w:val="24"/>
        </w:rPr>
        <w:t xml:space="preserve">  </w:t>
      </w:r>
      <w:r>
        <w:rPr>
          <w:rFonts w:ascii="Arial" w:hAnsi="Arial" w:cs="Arial"/>
          <w:sz w:val="24"/>
          <w:szCs w:val="24"/>
        </w:rPr>
        <w:t xml:space="preserve">Prior legislation established </w:t>
      </w:r>
      <w:r w:rsidR="00BC7BE2">
        <w:rPr>
          <w:rFonts w:ascii="Arial" w:hAnsi="Arial" w:cs="Arial"/>
          <w:sz w:val="24"/>
          <w:szCs w:val="24"/>
        </w:rPr>
        <w:t>s</w:t>
      </w:r>
      <w:r>
        <w:rPr>
          <w:rFonts w:ascii="Arial" w:hAnsi="Arial" w:cs="Arial"/>
          <w:sz w:val="24"/>
          <w:szCs w:val="24"/>
        </w:rPr>
        <w:t xml:space="preserve">tate goals to reduce greenhouse gas emissions and created tools to achieve these reductions.  </w:t>
      </w:r>
    </w:p>
    <w:p w:rsidR="00761FBD" w:rsidRPr="00157623" w:rsidRDefault="00157623" w:rsidP="00761FBD">
      <w:pPr>
        <w:pStyle w:val="ListParagraph"/>
        <w:numPr>
          <w:ilvl w:val="0"/>
          <w:numId w:val="2"/>
        </w:numPr>
        <w:spacing w:line="240" w:lineRule="auto"/>
        <w:rPr>
          <w:rFonts w:ascii="Arial" w:hAnsi="Arial" w:cs="Arial"/>
          <w:sz w:val="24"/>
          <w:szCs w:val="24"/>
        </w:rPr>
      </w:pPr>
      <w:r w:rsidRPr="00157623">
        <w:rPr>
          <w:rFonts w:ascii="Arial" w:hAnsi="Arial" w:cs="Arial"/>
          <w:sz w:val="24"/>
          <w:szCs w:val="24"/>
        </w:rPr>
        <w:t>Assembly Bill</w:t>
      </w:r>
      <w:r w:rsidR="00761FBD" w:rsidRPr="00157623">
        <w:rPr>
          <w:rFonts w:ascii="Arial" w:hAnsi="Arial" w:cs="Arial"/>
          <w:sz w:val="24"/>
          <w:szCs w:val="24"/>
        </w:rPr>
        <w:t xml:space="preserve"> 32 (2006) </w:t>
      </w:r>
      <w:r w:rsidRPr="00157623">
        <w:rPr>
          <w:rFonts w:ascii="Arial" w:hAnsi="Arial" w:cs="Arial"/>
          <w:sz w:val="24"/>
          <w:szCs w:val="24"/>
        </w:rPr>
        <w:t xml:space="preserve">set greenhouse gas reduction </w:t>
      </w:r>
      <w:r w:rsidR="007C24CC">
        <w:rPr>
          <w:rFonts w:ascii="Arial" w:hAnsi="Arial" w:cs="Arial"/>
          <w:sz w:val="24"/>
          <w:szCs w:val="24"/>
        </w:rPr>
        <w:t>targets</w:t>
      </w:r>
      <w:r w:rsidRPr="00157623">
        <w:rPr>
          <w:rFonts w:ascii="Arial" w:hAnsi="Arial" w:cs="Arial"/>
          <w:sz w:val="24"/>
          <w:szCs w:val="24"/>
        </w:rPr>
        <w:t xml:space="preserve"> and </w:t>
      </w:r>
      <w:r w:rsidR="00761FBD" w:rsidRPr="00157623">
        <w:rPr>
          <w:rFonts w:ascii="Arial" w:hAnsi="Arial" w:cs="Arial"/>
          <w:sz w:val="24"/>
          <w:szCs w:val="24"/>
        </w:rPr>
        <w:t>authorized the Cap</w:t>
      </w:r>
      <w:r w:rsidRPr="00157623">
        <w:rPr>
          <w:rFonts w:ascii="Arial" w:hAnsi="Arial" w:cs="Arial"/>
          <w:sz w:val="24"/>
          <w:szCs w:val="24"/>
        </w:rPr>
        <w:t>-</w:t>
      </w:r>
      <w:r w:rsidR="00761FBD" w:rsidRPr="00157623">
        <w:rPr>
          <w:rFonts w:ascii="Arial" w:hAnsi="Arial" w:cs="Arial"/>
          <w:sz w:val="24"/>
          <w:szCs w:val="24"/>
        </w:rPr>
        <w:t>and</w:t>
      </w:r>
      <w:r w:rsidRPr="00157623">
        <w:rPr>
          <w:rFonts w:ascii="Arial" w:hAnsi="Arial" w:cs="Arial"/>
          <w:sz w:val="24"/>
          <w:szCs w:val="24"/>
        </w:rPr>
        <w:t>-</w:t>
      </w:r>
      <w:r w:rsidR="00761FBD" w:rsidRPr="00157623">
        <w:rPr>
          <w:rFonts w:ascii="Arial" w:hAnsi="Arial" w:cs="Arial"/>
          <w:sz w:val="24"/>
          <w:szCs w:val="24"/>
        </w:rPr>
        <w:t>Trade Program at</w:t>
      </w:r>
      <w:r w:rsidR="007C24CC">
        <w:rPr>
          <w:rFonts w:ascii="Arial" w:hAnsi="Arial" w:cs="Arial"/>
          <w:sz w:val="24"/>
          <w:szCs w:val="24"/>
        </w:rPr>
        <w:t xml:space="preserve"> the</w:t>
      </w:r>
      <w:r w:rsidR="00761FBD" w:rsidRPr="00157623">
        <w:rPr>
          <w:rFonts w:ascii="Arial" w:hAnsi="Arial" w:cs="Arial"/>
          <w:sz w:val="24"/>
          <w:szCs w:val="24"/>
        </w:rPr>
        <w:t xml:space="preserve"> Air Resources Board </w:t>
      </w:r>
    </w:p>
    <w:p w:rsidR="00685727" w:rsidRPr="00FE7EB2" w:rsidRDefault="00761FBD" w:rsidP="00093B3E">
      <w:pPr>
        <w:pStyle w:val="ListParagraph"/>
        <w:numPr>
          <w:ilvl w:val="0"/>
          <w:numId w:val="2"/>
        </w:numPr>
        <w:spacing w:line="240" w:lineRule="auto"/>
        <w:rPr>
          <w:rFonts w:ascii="Arial" w:hAnsi="Arial" w:cs="Arial"/>
          <w:sz w:val="24"/>
          <w:szCs w:val="24"/>
        </w:rPr>
      </w:pPr>
      <w:r w:rsidRPr="00FE7EB2">
        <w:rPr>
          <w:rFonts w:ascii="Arial" w:hAnsi="Arial" w:cs="Arial"/>
          <w:sz w:val="24"/>
          <w:szCs w:val="24"/>
        </w:rPr>
        <w:t>S</w:t>
      </w:r>
      <w:r w:rsidR="00157623" w:rsidRPr="00FE7EB2">
        <w:rPr>
          <w:rFonts w:ascii="Arial" w:hAnsi="Arial" w:cs="Arial"/>
          <w:sz w:val="24"/>
          <w:szCs w:val="24"/>
        </w:rPr>
        <w:t>enate Bill</w:t>
      </w:r>
      <w:r w:rsidRPr="00FE7EB2">
        <w:rPr>
          <w:rFonts w:ascii="Arial" w:hAnsi="Arial" w:cs="Arial"/>
          <w:sz w:val="24"/>
          <w:szCs w:val="24"/>
        </w:rPr>
        <w:t xml:space="preserve"> 375 (2008)</w:t>
      </w:r>
      <w:r w:rsidR="00FE7EB2" w:rsidRPr="00FE7EB2">
        <w:rPr>
          <w:rFonts w:ascii="Arial" w:hAnsi="Arial" w:cs="Arial"/>
          <w:sz w:val="24"/>
          <w:szCs w:val="24"/>
        </w:rPr>
        <w:t xml:space="preserve"> and Senate Bill 391 (2009)</w:t>
      </w:r>
      <w:r w:rsidRPr="00FE7EB2">
        <w:rPr>
          <w:rFonts w:ascii="Arial" w:hAnsi="Arial" w:cs="Arial"/>
          <w:sz w:val="24"/>
          <w:szCs w:val="24"/>
        </w:rPr>
        <w:t xml:space="preserve"> require sustainable communities strategies be included in regional transportation plans</w:t>
      </w:r>
      <w:r w:rsidR="00FE7EB2" w:rsidRPr="00FE7EB2">
        <w:rPr>
          <w:rFonts w:ascii="Arial" w:hAnsi="Arial" w:cs="Arial"/>
          <w:sz w:val="24"/>
          <w:szCs w:val="24"/>
        </w:rPr>
        <w:t xml:space="preserve"> and the statewide transportation plan</w:t>
      </w:r>
    </w:p>
    <w:p w:rsidR="00BC7BE2" w:rsidRPr="00FE7EB2" w:rsidRDefault="00FE7EB2" w:rsidP="00093B3E">
      <w:pPr>
        <w:pStyle w:val="ListParagraph"/>
        <w:numPr>
          <w:ilvl w:val="0"/>
          <w:numId w:val="2"/>
        </w:numPr>
        <w:spacing w:line="240" w:lineRule="auto"/>
        <w:rPr>
          <w:rFonts w:ascii="Arial" w:hAnsi="Arial" w:cs="Arial"/>
          <w:sz w:val="24"/>
          <w:szCs w:val="24"/>
        </w:rPr>
      </w:pPr>
      <w:r w:rsidRPr="00FE7EB2">
        <w:rPr>
          <w:rFonts w:ascii="Arial" w:hAnsi="Arial" w:cs="Arial"/>
          <w:sz w:val="24"/>
          <w:szCs w:val="24"/>
        </w:rPr>
        <w:t xml:space="preserve">Assembly Bill 3034 (2008) </w:t>
      </w:r>
      <w:r w:rsidR="007C24CC">
        <w:rPr>
          <w:rFonts w:ascii="Arial" w:hAnsi="Arial" w:cs="Arial"/>
          <w:sz w:val="24"/>
          <w:szCs w:val="24"/>
        </w:rPr>
        <w:t xml:space="preserve">placed </w:t>
      </w:r>
      <w:r w:rsidRPr="00FE7EB2">
        <w:rPr>
          <w:rFonts w:ascii="Arial" w:hAnsi="Arial" w:cs="Arial"/>
          <w:sz w:val="24"/>
          <w:szCs w:val="24"/>
        </w:rPr>
        <w:t>Proposition 1A</w:t>
      </w:r>
      <w:r w:rsidR="007C24CC">
        <w:rPr>
          <w:rFonts w:ascii="Arial" w:hAnsi="Arial" w:cs="Arial"/>
          <w:sz w:val="24"/>
          <w:szCs w:val="24"/>
        </w:rPr>
        <w:t xml:space="preserve"> before voters, which</w:t>
      </w:r>
      <w:r w:rsidRPr="00FE7EB2">
        <w:rPr>
          <w:rFonts w:ascii="Arial" w:hAnsi="Arial" w:cs="Arial"/>
          <w:sz w:val="24"/>
          <w:szCs w:val="24"/>
        </w:rPr>
        <w:t xml:space="preserve"> provides bond funding to reduce greenhouse gas emissions through rail investments, including the high-speed rail project</w:t>
      </w:r>
    </w:p>
    <w:p w:rsidR="00A4182A" w:rsidRPr="00BC7BE2" w:rsidRDefault="00BC7BE2" w:rsidP="00A4182A">
      <w:pPr>
        <w:spacing w:line="240" w:lineRule="auto"/>
        <w:rPr>
          <w:rFonts w:ascii="Arial" w:hAnsi="Arial" w:cs="Arial"/>
          <w:sz w:val="24"/>
          <w:szCs w:val="24"/>
        </w:rPr>
      </w:pPr>
      <w:r w:rsidRPr="00BC7BE2">
        <w:rPr>
          <w:rFonts w:ascii="Arial" w:hAnsi="Arial" w:cs="Arial"/>
          <w:b/>
          <w:sz w:val="24"/>
          <w:szCs w:val="24"/>
        </w:rPr>
        <w:t>Program Goals and Eligible Projects</w:t>
      </w:r>
      <w:r>
        <w:rPr>
          <w:rFonts w:ascii="Arial" w:hAnsi="Arial" w:cs="Arial"/>
          <w:b/>
          <w:sz w:val="24"/>
          <w:szCs w:val="24"/>
        </w:rPr>
        <w:t>:</w:t>
      </w:r>
      <w:r w:rsidRPr="00BC7BE2">
        <w:rPr>
          <w:rFonts w:ascii="Arial" w:hAnsi="Arial" w:cs="Arial"/>
          <w:sz w:val="24"/>
          <w:szCs w:val="24"/>
        </w:rPr>
        <w:t xml:space="preserve">  </w:t>
      </w:r>
      <w:r>
        <w:rPr>
          <w:rFonts w:ascii="Arial" w:hAnsi="Arial" w:cs="Arial"/>
          <w:sz w:val="24"/>
          <w:szCs w:val="24"/>
        </w:rPr>
        <w:t xml:space="preserve">Senate Bill 862 created the Transit and Intercity Rail Capital Program and </w:t>
      </w:r>
      <w:r w:rsidR="00162986">
        <w:rPr>
          <w:rFonts w:ascii="Arial" w:hAnsi="Arial" w:cs="Arial"/>
          <w:sz w:val="24"/>
          <w:szCs w:val="24"/>
        </w:rPr>
        <w:t xml:space="preserve">describes program goals and eligible projects.  Program goals include the reduction of greenhouse gas emissions, expanded rail service to increase ridership, the integration of </w:t>
      </w:r>
      <w:r w:rsidR="0079027F">
        <w:rPr>
          <w:rFonts w:ascii="Arial" w:hAnsi="Arial" w:cs="Arial"/>
          <w:sz w:val="24"/>
          <w:szCs w:val="24"/>
        </w:rPr>
        <w:t xml:space="preserve">different </w:t>
      </w:r>
      <w:r w:rsidR="00162986">
        <w:rPr>
          <w:rFonts w:ascii="Arial" w:hAnsi="Arial" w:cs="Arial"/>
          <w:sz w:val="24"/>
          <w:szCs w:val="24"/>
        </w:rPr>
        <w:t xml:space="preserve">rail </w:t>
      </w:r>
      <w:r w:rsidR="00066905">
        <w:rPr>
          <w:rFonts w:ascii="Arial" w:hAnsi="Arial" w:cs="Arial"/>
          <w:sz w:val="24"/>
          <w:szCs w:val="24"/>
        </w:rPr>
        <w:t xml:space="preserve">and bus </w:t>
      </w:r>
      <w:r w:rsidR="00162986">
        <w:rPr>
          <w:rFonts w:ascii="Arial" w:hAnsi="Arial" w:cs="Arial"/>
          <w:sz w:val="24"/>
          <w:szCs w:val="24"/>
        </w:rPr>
        <w:t>systems, and improved rail safety.  Eligible projects include rail and bus capital pr</w:t>
      </w:r>
      <w:r w:rsidR="00066905">
        <w:rPr>
          <w:rFonts w:ascii="Arial" w:hAnsi="Arial" w:cs="Arial"/>
          <w:sz w:val="24"/>
          <w:szCs w:val="24"/>
        </w:rPr>
        <w:t>ojects, and operational</w:t>
      </w:r>
      <w:r w:rsidR="00162986">
        <w:rPr>
          <w:rFonts w:ascii="Arial" w:hAnsi="Arial" w:cs="Arial"/>
          <w:sz w:val="24"/>
          <w:szCs w:val="24"/>
        </w:rPr>
        <w:t xml:space="preserve"> improvements that result in increased ridership and reduced greenhouse gas emissions</w:t>
      </w:r>
      <w:r w:rsidR="00A4182A" w:rsidRPr="00BC7BE2">
        <w:rPr>
          <w:rFonts w:ascii="Arial" w:hAnsi="Arial" w:cs="Arial"/>
          <w:sz w:val="24"/>
          <w:szCs w:val="24"/>
        </w:rPr>
        <w:t>.</w:t>
      </w:r>
    </w:p>
    <w:p w:rsidR="00056809" w:rsidRPr="00056809" w:rsidRDefault="00056809" w:rsidP="00685727">
      <w:pPr>
        <w:spacing w:after="0" w:line="240" w:lineRule="auto"/>
        <w:rPr>
          <w:rFonts w:ascii="Arial" w:hAnsi="Arial" w:cs="Arial"/>
          <w:sz w:val="24"/>
          <w:szCs w:val="24"/>
        </w:rPr>
      </w:pPr>
      <w:r>
        <w:rPr>
          <w:rFonts w:ascii="Arial" w:hAnsi="Arial" w:cs="Arial"/>
          <w:b/>
          <w:sz w:val="24"/>
          <w:szCs w:val="24"/>
        </w:rPr>
        <w:t xml:space="preserve">Disadvantaged-Community Benefits:  </w:t>
      </w:r>
      <w:r w:rsidRPr="00056809">
        <w:rPr>
          <w:rFonts w:ascii="Arial" w:hAnsi="Arial" w:cs="Arial"/>
          <w:sz w:val="24"/>
          <w:szCs w:val="24"/>
        </w:rPr>
        <w:t xml:space="preserve">Legislation Passed in 2011, Senate Bill 535, </w:t>
      </w:r>
      <w:r>
        <w:rPr>
          <w:rFonts w:ascii="Arial" w:hAnsi="Arial" w:cs="Arial"/>
          <w:sz w:val="24"/>
          <w:szCs w:val="24"/>
        </w:rPr>
        <w:t>requires that programs funded from the Greenhouse Gas Reduction Fund result in benefits to disadvantaged communities.  The designation of “disadvantaged communities” is assigned to the California Environmental Protection Agency, and the establishment of guidelines for qualifying expenditures is assigned to the California Air Resources Board.  The Transit and Intercity Rail Capital Program will target grants so that at least 25 percent of program expenditures will benefit disadvantaged communities.</w:t>
      </w:r>
    </w:p>
    <w:p w:rsidR="00056809" w:rsidRDefault="00056809" w:rsidP="00685727">
      <w:pPr>
        <w:spacing w:after="0" w:line="240" w:lineRule="auto"/>
        <w:rPr>
          <w:rFonts w:ascii="Arial" w:hAnsi="Arial" w:cs="Arial"/>
          <w:b/>
          <w:sz w:val="24"/>
          <w:szCs w:val="24"/>
        </w:rPr>
      </w:pPr>
    </w:p>
    <w:p w:rsidR="00056809" w:rsidRDefault="00056809" w:rsidP="00685727">
      <w:pPr>
        <w:spacing w:after="0" w:line="240" w:lineRule="auto"/>
        <w:rPr>
          <w:rFonts w:ascii="Arial" w:hAnsi="Arial" w:cs="Arial"/>
          <w:sz w:val="24"/>
          <w:szCs w:val="24"/>
        </w:rPr>
      </w:pPr>
      <w:r w:rsidRPr="00056809">
        <w:rPr>
          <w:rFonts w:ascii="Arial" w:hAnsi="Arial" w:cs="Arial"/>
          <w:b/>
          <w:sz w:val="24"/>
          <w:szCs w:val="24"/>
        </w:rPr>
        <w:t>Program Guidelines</w:t>
      </w:r>
      <w:r w:rsidR="00C7209D">
        <w:rPr>
          <w:rFonts w:ascii="Arial" w:hAnsi="Arial" w:cs="Arial"/>
          <w:b/>
          <w:sz w:val="24"/>
          <w:szCs w:val="24"/>
        </w:rPr>
        <w:t xml:space="preserve"> and Public Input</w:t>
      </w:r>
      <w:r w:rsidRPr="00056809">
        <w:rPr>
          <w:rFonts w:ascii="Arial" w:hAnsi="Arial" w:cs="Arial"/>
          <w:b/>
          <w:sz w:val="24"/>
          <w:szCs w:val="24"/>
        </w:rPr>
        <w:t>:</w:t>
      </w:r>
      <w:r>
        <w:rPr>
          <w:rFonts w:ascii="Arial" w:hAnsi="Arial" w:cs="Arial"/>
          <w:sz w:val="24"/>
          <w:szCs w:val="24"/>
        </w:rPr>
        <w:t xml:space="preserve">  Senate Bill 862 directs the California State Transportation Agency (CalSTA) to establish guidelines for the Transit and Intercity Rail Program.  </w:t>
      </w:r>
      <w:r w:rsidR="00C7209D">
        <w:rPr>
          <w:rFonts w:ascii="Arial" w:hAnsi="Arial" w:cs="Arial"/>
          <w:sz w:val="24"/>
          <w:szCs w:val="24"/>
        </w:rPr>
        <w:t>CalSTA is holding public workshops to</w:t>
      </w:r>
      <w:r w:rsidR="007C24CC">
        <w:rPr>
          <w:rFonts w:ascii="Arial" w:hAnsi="Arial" w:cs="Arial"/>
          <w:sz w:val="24"/>
          <w:szCs w:val="24"/>
        </w:rPr>
        <w:t xml:space="preserve"> receive public input in August p</w:t>
      </w:r>
      <w:r w:rsidR="00C7209D">
        <w:rPr>
          <w:rFonts w:ascii="Arial" w:hAnsi="Arial" w:cs="Arial"/>
          <w:sz w:val="24"/>
          <w:szCs w:val="24"/>
        </w:rPr>
        <w:t xml:space="preserve">rior to writing draft guidelines.  Once draft guidelines are done, they will be shared with the Legislature and CalSTA will hold at least two additional public meetings prior to finalizing the guidelines.  CalSTA will also present draft guidelines for review by the Strategic Growth Council.  </w:t>
      </w:r>
    </w:p>
    <w:p w:rsidR="00056809" w:rsidRDefault="00056809" w:rsidP="00685727">
      <w:pPr>
        <w:spacing w:after="0" w:line="240" w:lineRule="auto"/>
        <w:rPr>
          <w:rFonts w:ascii="Arial" w:hAnsi="Arial" w:cs="Arial"/>
          <w:sz w:val="24"/>
          <w:szCs w:val="24"/>
        </w:rPr>
      </w:pPr>
    </w:p>
    <w:p w:rsidR="00056809" w:rsidRDefault="00C7209D" w:rsidP="00685727">
      <w:pPr>
        <w:spacing w:after="0" w:line="240" w:lineRule="auto"/>
        <w:rPr>
          <w:rFonts w:ascii="Arial" w:hAnsi="Arial" w:cs="Arial"/>
          <w:sz w:val="24"/>
          <w:szCs w:val="24"/>
        </w:rPr>
      </w:pPr>
      <w:r w:rsidRPr="00C7209D">
        <w:rPr>
          <w:rFonts w:ascii="Arial" w:hAnsi="Arial" w:cs="Arial"/>
          <w:b/>
          <w:sz w:val="24"/>
          <w:szCs w:val="24"/>
        </w:rPr>
        <w:t xml:space="preserve">Roles and Responsibilities of State Agencies: </w:t>
      </w:r>
      <w:r>
        <w:rPr>
          <w:rFonts w:ascii="Arial" w:hAnsi="Arial" w:cs="Arial"/>
          <w:sz w:val="24"/>
          <w:szCs w:val="24"/>
        </w:rPr>
        <w:t xml:space="preserve"> CalSTA</w:t>
      </w:r>
      <w:r w:rsidR="00500C03">
        <w:rPr>
          <w:rFonts w:ascii="Arial" w:hAnsi="Arial" w:cs="Arial"/>
          <w:sz w:val="24"/>
          <w:szCs w:val="24"/>
        </w:rPr>
        <w:t xml:space="preserve"> will work with the </w:t>
      </w:r>
      <w:r>
        <w:rPr>
          <w:rFonts w:ascii="Arial" w:hAnsi="Arial" w:cs="Arial"/>
          <w:sz w:val="24"/>
          <w:szCs w:val="24"/>
        </w:rPr>
        <w:t xml:space="preserve">Department of Transportation (Caltrans), and the </w:t>
      </w:r>
      <w:r w:rsidR="00500C03">
        <w:rPr>
          <w:rFonts w:ascii="Arial" w:hAnsi="Arial" w:cs="Arial"/>
          <w:sz w:val="24"/>
          <w:szCs w:val="24"/>
        </w:rPr>
        <w:t>California Transportation Commission (CTC) to implement this program.  Once guidelines are finalized, Cal</w:t>
      </w:r>
      <w:bookmarkStart w:id="0" w:name="_GoBack"/>
      <w:bookmarkEnd w:id="0"/>
      <w:r w:rsidR="00500C03">
        <w:rPr>
          <w:rFonts w:ascii="Arial" w:hAnsi="Arial" w:cs="Arial"/>
          <w:sz w:val="24"/>
          <w:szCs w:val="24"/>
        </w:rPr>
        <w:t>STA and Caltrans will</w:t>
      </w:r>
      <w:r w:rsidR="00FE7EB2">
        <w:rPr>
          <w:rFonts w:ascii="Arial" w:hAnsi="Arial" w:cs="Arial"/>
          <w:sz w:val="24"/>
          <w:szCs w:val="24"/>
        </w:rPr>
        <w:t xml:space="preserve"> solicit applications and select projects.  The CTC will award the program of projects and manage project allocations. </w:t>
      </w:r>
      <w:r w:rsidR="00500C03">
        <w:rPr>
          <w:rFonts w:ascii="Arial" w:hAnsi="Arial" w:cs="Arial"/>
          <w:sz w:val="24"/>
          <w:szCs w:val="24"/>
        </w:rPr>
        <w:t xml:space="preserve"> </w:t>
      </w:r>
      <w:r w:rsidR="00ED191B">
        <w:rPr>
          <w:rFonts w:ascii="Arial" w:hAnsi="Arial" w:cs="Arial"/>
          <w:sz w:val="24"/>
          <w:szCs w:val="24"/>
        </w:rPr>
        <w:t xml:space="preserve"> </w:t>
      </w:r>
    </w:p>
    <w:p w:rsidR="00056809" w:rsidRDefault="00056809" w:rsidP="00685727">
      <w:pPr>
        <w:spacing w:after="0" w:line="240" w:lineRule="auto"/>
        <w:rPr>
          <w:rFonts w:ascii="Arial" w:hAnsi="Arial" w:cs="Arial"/>
          <w:sz w:val="24"/>
          <w:szCs w:val="24"/>
        </w:rPr>
      </w:pPr>
    </w:p>
    <w:p w:rsidR="00056809" w:rsidRDefault="00ED191B" w:rsidP="00685727">
      <w:pPr>
        <w:spacing w:after="0" w:line="240" w:lineRule="auto"/>
        <w:rPr>
          <w:rFonts w:ascii="Arial" w:hAnsi="Arial" w:cs="Arial"/>
          <w:sz w:val="24"/>
          <w:szCs w:val="24"/>
        </w:rPr>
      </w:pPr>
      <w:r w:rsidRPr="00FE7EB2">
        <w:rPr>
          <w:rFonts w:ascii="Arial" w:hAnsi="Arial" w:cs="Arial"/>
          <w:b/>
          <w:sz w:val="24"/>
          <w:szCs w:val="24"/>
        </w:rPr>
        <w:t>Timeline</w:t>
      </w:r>
      <w:r w:rsidR="00FE7EB2" w:rsidRPr="00FE7EB2">
        <w:rPr>
          <w:rFonts w:ascii="Arial" w:hAnsi="Arial" w:cs="Arial"/>
          <w:b/>
          <w:sz w:val="24"/>
          <w:szCs w:val="24"/>
        </w:rPr>
        <w:t>:</w:t>
      </w:r>
      <w:r w:rsidR="00FE7EB2">
        <w:rPr>
          <w:rFonts w:ascii="Arial" w:hAnsi="Arial" w:cs="Arial"/>
          <w:sz w:val="24"/>
          <w:szCs w:val="24"/>
        </w:rPr>
        <w:t xml:space="preserve">  The Administration will release draft guidelines for comment in the fall of 2014, with guidelines finalized and a solicitation for projects planned in the first half of calendar year 2015.</w:t>
      </w:r>
    </w:p>
    <w:p w:rsidR="00ED191B" w:rsidRDefault="00ED191B" w:rsidP="00685727">
      <w:pPr>
        <w:spacing w:after="0" w:line="240" w:lineRule="auto"/>
        <w:rPr>
          <w:rFonts w:ascii="Arial" w:hAnsi="Arial" w:cs="Arial"/>
          <w:sz w:val="24"/>
          <w:szCs w:val="24"/>
        </w:rPr>
      </w:pPr>
    </w:p>
    <w:p w:rsidR="005A214A" w:rsidRDefault="005A214A" w:rsidP="005A214A">
      <w:pPr>
        <w:spacing w:line="240" w:lineRule="auto"/>
        <w:jc w:val="center"/>
        <w:rPr>
          <w:rFonts w:ascii="Arial Narrow" w:hAnsi="Arial Narrow" w:cs="Arial"/>
          <w:i/>
          <w:sz w:val="24"/>
          <w:szCs w:val="24"/>
        </w:rPr>
      </w:pPr>
      <w:r>
        <w:rPr>
          <w:rFonts w:ascii="Arial Narrow" w:hAnsi="Arial Narrow" w:cs="Arial"/>
          <w:i/>
          <w:sz w:val="24"/>
          <w:szCs w:val="24"/>
        </w:rPr>
        <w:t>Questions or comments may be directed to the Division of Rail and Mass Transportation at (916)653-3060.</w:t>
      </w:r>
    </w:p>
    <w:p w:rsidR="005A214A" w:rsidRPr="009D1ACE" w:rsidRDefault="005A214A" w:rsidP="005A214A">
      <w:pPr>
        <w:spacing w:line="240" w:lineRule="auto"/>
        <w:jc w:val="center"/>
        <w:rPr>
          <w:rFonts w:ascii="Arial Narrow" w:hAnsi="Arial Narrow" w:cs="Arial"/>
          <w:i/>
          <w:sz w:val="24"/>
          <w:szCs w:val="24"/>
        </w:rPr>
      </w:pPr>
      <w:r>
        <w:rPr>
          <w:rFonts w:ascii="Arial Narrow" w:hAnsi="Arial Narrow" w:cs="Arial"/>
          <w:i/>
          <w:sz w:val="24"/>
          <w:szCs w:val="24"/>
        </w:rPr>
        <w:t>Written comments on TIRCP</w:t>
      </w:r>
      <w:r w:rsidRPr="009D1ACE">
        <w:rPr>
          <w:rFonts w:ascii="Arial Narrow" w:hAnsi="Arial Narrow" w:cs="Arial"/>
          <w:i/>
          <w:sz w:val="24"/>
          <w:szCs w:val="24"/>
        </w:rPr>
        <w:t xml:space="preserve"> may be directed to </w:t>
      </w:r>
      <w:hyperlink r:id="rId10" w:history="1">
        <w:r w:rsidR="000C172D" w:rsidRPr="008A38D3">
          <w:rPr>
            <w:rStyle w:val="Hyperlink"/>
            <w:rFonts w:ascii="Arial Narrow" w:hAnsi="Arial Narrow" w:cs="Arial"/>
            <w:i/>
            <w:sz w:val="24"/>
            <w:szCs w:val="24"/>
          </w:rPr>
          <w:t>tircpcomments@dot.ca.gov</w:t>
        </w:r>
      </w:hyperlink>
      <w:r>
        <w:rPr>
          <w:rFonts w:ascii="Arial Narrow" w:hAnsi="Arial Narrow" w:cs="Arial"/>
          <w:i/>
          <w:sz w:val="24"/>
          <w:szCs w:val="24"/>
        </w:rPr>
        <w:t>.</w:t>
      </w:r>
    </w:p>
    <w:p w:rsidR="00056809" w:rsidRDefault="00056809" w:rsidP="00685727">
      <w:pPr>
        <w:spacing w:after="0" w:line="240" w:lineRule="auto"/>
        <w:rPr>
          <w:rFonts w:ascii="Arial" w:hAnsi="Arial" w:cs="Arial"/>
          <w:sz w:val="24"/>
          <w:szCs w:val="24"/>
        </w:rPr>
      </w:pPr>
    </w:p>
    <w:sectPr w:rsidR="00056809" w:rsidSect="005A089B">
      <w:pgSz w:w="12240" w:h="15840"/>
      <w:pgMar w:top="45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25" w:rsidRDefault="00CC1625" w:rsidP="00162986">
      <w:pPr>
        <w:spacing w:after="0" w:line="240" w:lineRule="auto"/>
      </w:pPr>
      <w:r>
        <w:separator/>
      </w:r>
    </w:p>
  </w:endnote>
  <w:endnote w:type="continuationSeparator" w:id="0">
    <w:p w:rsidR="00CC1625" w:rsidRDefault="00CC1625" w:rsidP="001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25" w:rsidRDefault="00CC1625" w:rsidP="00162986">
      <w:pPr>
        <w:spacing w:after="0" w:line="240" w:lineRule="auto"/>
      </w:pPr>
      <w:r>
        <w:separator/>
      </w:r>
    </w:p>
  </w:footnote>
  <w:footnote w:type="continuationSeparator" w:id="0">
    <w:p w:rsidR="00CC1625" w:rsidRDefault="00CC1625" w:rsidP="00162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onramp.dot.ca.gov/hq/paffairs/CT_Vertical/CT_logo.jpg" style="width:75pt;height:57pt;visibility:visible;mso-wrap-style:square" o:bullet="t">
        <v:imagedata r:id="rId1" o:title="CT_logo"/>
      </v:shape>
    </w:pict>
  </w:numPicBullet>
  <w:numPicBullet w:numPicBulletId="1">
    <w:pict>
      <v:shape id="_x0000_i1027" type="#_x0000_t75" alt="http://onramp.dot.ca.gov/hq/paffairs/CT_Vertical/CT_logo.jpg" style="width:51.75pt;height:48pt;visibility:visible;mso-wrap-style:square" o:bullet="t">
        <v:imagedata r:id="rId2" o:title="CT_logo"/>
      </v:shape>
    </w:pict>
  </w:numPicBullet>
  <w:abstractNum w:abstractNumId="0" w15:restartNumberingAfterBreak="0">
    <w:nsid w:val="20E65E4E"/>
    <w:multiLevelType w:val="hybridMultilevel"/>
    <w:tmpl w:val="A35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25DEC"/>
    <w:multiLevelType w:val="hybridMultilevel"/>
    <w:tmpl w:val="DC66C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3B51E8"/>
    <w:multiLevelType w:val="hybridMultilevel"/>
    <w:tmpl w:val="EA6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70F"/>
    <w:multiLevelType w:val="hybridMultilevel"/>
    <w:tmpl w:val="913E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B1CCB"/>
    <w:multiLevelType w:val="hybridMultilevel"/>
    <w:tmpl w:val="C2A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D6CF1"/>
    <w:multiLevelType w:val="hybridMultilevel"/>
    <w:tmpl w:val="646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96343"/>
    <w:multiLevelType w:val="hybridMultilevel"/>
    <w:tmpl w:val="784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5500284"/>
  </w:docVars>
  <w:rsids>
    <w:rsidRoot w:val="008E0745"/>
    <w:rsid w:val="000175DF"/>
    <w:rsid w:val="0004516C"/>
    <w:rsid w:val="00056809"/>
    <w:rsid w:val="00064E8E"/>
    <w:rsid w:val="00066905"/>
    <w:rsid w:val="00093B3E"/>
    <w:rsid w:val="0009645C"/>
    <w:rsid w:val="000C172D"/>
    <w:rsid w:val="000E4B77"/>
    <w:rsid w:val="0010265B"/>
    <w:rsid w:val="001429F4"/>
    <w:rsid w:val="00157623"/>
    <w:rsid w:val="00162986"/>
    <w:rsid w:val="00173E4A"/>
    <w:rsid w:val="001763A2"/>
    <w:rsid w:val="001D0F64"/>
    <w:rsid w:val="001F0B1B"/>
    <w:rsid w:val="0022115A"/>
    <w:rsid w:val="002211DA"/>
    <w:rsid w:val="00294D89"/>
    <w:rsid w:val="002D1E3A"/>
    <w:rsid w:val="002D23D4"/>
    <w:rsid w:val="003A420F"/>
    <w:rsid w:val="003D78EE"/>
    <w:rsid w:val="003F58F2"/>
    <w:rsid w:val="00455020"/>
    <w:rsid w:val="004A4344"/>
    <w:rsid w:val="004B33C2"/>
    <w:rsid w:val="00500C03"/>
    <w:rsid w:val="005A089B"/>
    <w:rsid w:val="005A214A"/>
    <w:rsid w:val="005A4116"/>
    <w:rsid w:val="005B61D2"/>
    <w:rsid w:val="00665579"/>
    <w:rsid w:val="00685727"/>
    <w:rsid w:val="00685F1B"/>
    <w:rsid w:val="006A7DD5"/>
    <w:rsid w:val="006B0FB0"/>
    <w:rsid w:val="006B1A27"/>
    <w:rsid w:val="00761FBD"/>
    <w:rsid w:val="007746B2"/>
    <w:rsid w:val="00780F97"/>
    <w:rsid w:val="0079027F"/>
    <w:rsid w:val="007A5024"/>
    <w:rsid w:val="007C24CC"/>
    <w:rsid w:val="007C2666"/>
    <w:rsid w:val="008144D1"/>
    <w:rsid w:val="008325EE"/>
    <w:rsid w:val="0088252F"/>
    <w:rsid w:val="008B54B1"/>
    <w:rsid w:val="008E0745"/>
    <w:rsid w:val="00933B14"/>
    <w:rsid w:val="00976DE2"/>
    <w:rsid w:val="00A22014"/>
    <w:rsid w:val="00A4182A"/>
    <w:rsid w:val="00A4705C"/>
    <w:rsid w:val="00A662A6"/>
    <w:rsid w:val="00A74C72"/>
    <w:rsid w:val="00A850B2"/>
    <w:rsid w:val="00A90A79"/>
    <w:rsid w:val="00A91A25"/>
    <w:rsid w:val="00AA13E2"/>
    <w:rsid w:val="00AA2883"/>
    <w:rsid w:val="00B07A20"/>
    <w:rsid w:val="00B94EA2"/>
    <w:rsid w:val="00BB7BC3"/>
    <w:rsid w:val="00BC7BE2"/>
    <w:rsid w:val="00BE349F"/>
    <w:rsid w:val="00BE57BA"/>
    <w:rsid w:val="00BE767F"/>
    <w:rsid w:val="00C233EF"/>
    <w:rsid w:val="00C70BD2"/>
    <w:rsid w:val="00C7209D"/>
    <w:rsid w:val="00C86D55"/>
    <w:rsid w:val="00C907DC"/>
    <w:rsid w:val="00C93B4C"/>
    <w:rsid w:val="00CC1625"/>
    <w:rsid w:val="00CE51BA"/>
    <w:rsid w:val="00D04613"/>
    <w:rsid w:val="00D3625B"/>
    <w:rsid w:val="00D51354"/>
    <w:rsid w:val="00DE399C"/>
    <w:rsid w:val="00E14893"/>
    <w:rsid w:val="00E3423C"/>
    <w:rsid w:val="00E84BBF"/>
    <w:rsid w:val="00EC625F"/>
    <w:rsid w:val="00ED191B"/>
    <w:rsid w:val="00EF75A6"/>
    <w:rsid w:val="00EF76DE"/>
    <w:rsid w:val="00F70342"/>
    <w:rsid w:val="00F95E9C"/>
    <w:rsid w:val="00FE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9DC5E54-4041-4224-9F60-55CE8F1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45"/>
    <w:pPr>
      <w:ind w:left="720"/>
      <w:contextualSpacing/>
    </w:pPr>
  </w:style>
  <w:style w:type="character" w:styleId="Emphasis">
    <w:name w:val="Emphasis"/>
    <w:basedOn w:val="DefaultParagraphFont"/>
    <w:uiPriority w:val="20"/>
    <w:qFormat/>
    <w:rsid w:val="00A74C72"/>
    <w:rPr>
      <w:i/>
      <w:iCs/>
    </w:rPr>
  </w:style>
  <w:style w:type="table" w:styleId="TableGrid">
    <w:name w:val="Table Grid"/>
    <w:basedOn w:val="TableNormal"/>
    <w:uiPriority w:val="59"/>
    <w:rsid w:val="0001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7"/>
    <w:rPr>
      <w:rFonts w:ascii="Tahoma" w:hAnsi="Tahoma" w:cs="Tahoma"/>
      <w:sz w:val="16"/>
      <w:szCs w:val="16"/>
    </w:rPr>
  </w:style>
  <w:style w:type="character" w:styleId="IntenseEmphasis">
    <w:name w:val="Intense Emphasis"/>
    <w:basedOn w:val="DefaultParagraphFont"/>
    <w:uiPriority w:val="21"/>
    <w:qFormat/>
    <w:rsid w:val="00BB7BC3"/>
    <w:rPr>
      <w:b/>
      <w:bCs/>
      <w:i/>
      <w:iCs/>
      <w:color w:val="4F81BD" w:themeColor="accent1"/>
    </w:rPr>
  </w:style>
  <w:style w:type="paragraph" w:styleId="Header">
    <w:name w:val="header"/>
    <w:basedOn w:val="Normal"/>
    <w:link w:val="HeaderChar"/>
    <w:uiPriority w:val="99"/>
    <w:unhideWhenUsed/>
    <w:rsid w:val="0016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86"/>
  </w:style>
  <w:style w:type="paragraph" w:styleId="Footer">
    <w:name w:val="footer"/>
    <w:basedOn w:val="Normal"/>
    <w:link w:val="FooterChar"/>
    <w:uiPriority w:val="99"/>
    <w:unhideWhenUsed/>
    <w:rsid w:val="0016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86"/>
  </w:style>
  <w:style w:type="character" w:styleId="Hyperlink">
    <w:name w:val="Hyperlink"/>
    <w:basedOn w:val="DefaultParagraphFont"/>
    <w:uiPriority w:val="99"/>
    <w:unhideWhenUsed/>
    <w:rsid w:val="005A214A"/>
    <w:rPr>
      <w:color w:val="0000FF" w:themeColor="hyperlink"/>
      <w:u w:val="single"/>
    </w:rPr>
  </w:style>
  <w:style w:type="paragraph" w:styleId="Title">
    <w:name w:val="Title"/>
    <w:basedOn w:val="Normal"/>
    <w:next w:val="Normal"/>
    <w:link w:val="TitleChar"/>
    <w:uiPriority w:val="10"/>
    <w:qFormat/>
    <w:rsid w:val="00AA13E2"/>
    <w:pPr>
      <w:spacing w:after="0" w:line="240" w:lineRule="auto"/>
      <w:contextualSpacing/>
      <w:jc w:val="center"/>
    </w:pPr>
    <w:rPr>
      <w:rFonts w:ascii="Arial Black" w:eastAsiaTheme="majorEastAsia" w:hAnsi="Arial Black" w:cstheme="majorBidi"/>
      <w:kern w:val="28"/>
      <w:sz w:val="40"/>
      <w:szCs w:val="40"/>
    </w:rPr>
  </w:style>
  <w:style w:type="character" w:customStyle="1" w:styleId="TitleChar">
    <w:name w:val="Title Char"/>
    <w:basedOn w:val="DefaultParagraphFont"/>
    <w:link w:val="Title"/>
    <w:uiPriority w:val="10"/>
    <w:rsid w:val="00AA13E2"/>
    <w:rPr>
      <w:rFonts w:ascii="Arial Black" w:eastAsiaTheme="majorEastAsia" w:hAnsi="Arial Black" w:cstheme="majorBidi"/>
      <w:kern w:val="28"/>
      <w:sz w:val="40"/>
      <w:szCs w:val="40"/>
    </w:rPr>
  </w:style>
  <w:style w:type="paragraph" w:styleId="Subtitle">
    <w:name w:val="Subtitle"/>
    <w:basedOn w:val="Normal"/>
    <w:next w:val="Normal"/>
    <w:link w:val="SubtitleChar"/>
    <w:uiPriority w:val="11"/>
    <w:qFormat/>
    <w:rsid w:val="00AA13E2"/>
    <w:pPr>
      <w:numPr>
        <w:ilvl w:val="1"/>
      </w:numPr>
      <w:spacing w:after="0"/>
      <w:jc w:val="center"/>
    </w:pPr>
    <w:rPr>
      <w:rFonts w:ascii="Arial Black" w:hAnsi="Arial Black"/>
      <w:sz w:val="28"/>
      <w:szCs w:val="28"/>
    </w:rPr>
  </w:style>
  <w:style w:type="character" w:customStyle="1" w:styleId="SubtitleChar">
    <w:name w:val="Subtitle Char"/>
    <w:basedOn w:val="DefaultParagraphFont"/>
    <w:link w:val="Subtitle"/>
    <w:uiPriority w:val="11"/>
    <w:rsid w:val="00AA13E2"/>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rcpcomments@dot.ca.gov"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C012F-F26E-402F-A7CA-C3B1FEB4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Transit and Intercity Rail Capital Program</vt:lpstr>
    </vt:vector>
  </TitlesOfParts>
  <Company>Caltrans</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and Intercity Rail Capital Program</dc:title>
  <dc:creator>s121374</dc:creator>
  <cp:lastModifiedBy>codeMantra</cp:lastModifiedBy>
  <cp:revision>11</cp:revision>
  <cp:lastPrinted>2014-08-19T22:44:00Z</cp:lastPrinted>
  <dcterms:created xsi:type="dcterms:W3CDTF">2014-10-10T19:17:00Z</dcterms:created>
  <dcterms:modified xsi:type="dcterms:W3CDTF">2019-08-16T09:02:00Z</dcterms:modified>
</cp:coreProperties>
</file>